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BC37" w14:textId="77777777" w:rsidR="00BD486A" w:rsidRPr="009863F2" w:rsidRDefault="00BD486A" w:rsidP="009863F2">
      <w:pPr>
        <w:spacing w:after="0" w:line="240" w:lineRule="auto"/>
        <w:jc w:val="center"/>
        <w:rPr>
          <w:rFonts w:ascii="Calibri Light" w:hAnsi="Calibri Light" w:cs="Arial"/>
          <w:sz w:val="24"/>
          <w:szCs w:val="24"/>
          <w:lang w:val="es-ES"/>
        </w:rPr>
      </w:pPr>
    </w:p>
    <w:p w14:paraId="58547227" w14:textId="77777777" w:rsidR="00F70322" w:rsidRPr="009863F2" w:rsidRDefault="00F70322" w:rsidP="009863F2">
      <w:pPr>
        <w:spacing w:after="0" w:line="240" w:lineRule="auto"/>
        <w:ind w:right="720"/>
        <w:rPr>
          <w:rFonts w:ascii="Calibri Light" w:hAnsi="Calibri Light" w:cs="Arial"/>
          <w:b/>
          <w:sz w:val="24"/>
          <w:szCs w:val="24"/>
          <w:lang w:val="es-ES"/>
        </w:rPr>
      </w:pPr>
    </w:p>
    <w:p w14:paraId="3AAC3363" w14:textId="77777777" w:rsidR="00F70322" w:rsidRPr="009863F2" w:rsidRDefault="00F70322" w:rsidP="009863F2">
      <w:pPr>
        <w:spacing w:after="0" w:line="240" w:lineRule="auto"/>
        <w:ind w:left="720" w:right="720"/>
        <w:rPr>
          <w:rFonts w:ascii="Calibri Light" w:hAnsi="Calibri Light" w:cs="Arial"/>
          <w:b/>
          <w:sz w:val="24"/>
          <w:szCs w:val="24"/>
          <w:lang w:val="es-ES"/>
        </w:rPr>
      </w:pPr>
    </w:p>
    <w:p w14:paraId="6762A242" w14:textId="77777777" w:rsidR="00AE317F" w:rsidRPr="001C7DD9" w:rsidRDefault="00AE317F" w:rsidP="009863F2">
      <w:pPr>
        <w:spacing w:after="0" w:line="240" w:lineRule="auto"/>
        <w:ind w:left="720" w:right="720"/>
        <w:jc w:val="center"/>
        <w:rPr>
          <w:rFonts w:ascii="Calibri Light" w:hAnsi="Calibri Light" w:cs="Arial"/>
          <w:b/>
          <w:sz w:val="48"/>
          <w:szCs w:val="24"/>
          <w:lang w:val="es-ES"/>
        </w:rPr>
      </w:pPr>
      <w:r w:rsidRPr="001C7DD9">
        <w:rPr>
          <w:rFonts w:ascii="Calibri Light" w:hAnsi="Calibri Light" w:cs="Arial"/>
          <w:b/>
          <w:sz w:val="48"/>
          <w:szCs w:val="24"/>
          <w:lang w:val="es-ES"/>
        </w:rPr>
        <w:t>Financiamiento del mercado de vivienda</w:t>
      </w:r>
    </w:p>
    <w:p w14:paraId="4DF7A800" w14:textId="77777777" w:rsidR="00AE317F" w:rsidRPr="001C7DD9" w:rsidRDefault="00AE317F" w:rsidP="009863F2">
      <w:pPr>
        <w:spacing w:after="0" w:line="240" w:lineRule="auto"/>
        <w:ind w:left="720" w:right="720"/>
        <w:jc w:val="center"/>
        <w:rPr>
          <w:rFonts w:ascii="Calibri Light" w:hAnsi="Calibri Light" w:cs="Arial"/>
          <w:b/>
          <w:sz w:val="48"/>
          <w:szCs w:val="24"/>
          <w:lang w:val="es-ES"/>
        </w:rPr>
      </w:pPr>
      <w:r w:rsidRPr="001C7DD9">
        <w:rPr>
          <w:rFonts w:ascii="Calibri Light" w:hAnsi="Calibri Light" w:cs="Arial"/>
          <w:b/>
          <w:sz w:val="48"/>
          <w:szCs w:val="24"/>
          <w:lang w:val="es-ES"/>
        </w:rPr>
        <w:t>en América Latina y el Caribe</w:t>
      </w:r>
    </w:p>
    <w:p w14:paraId="30F4E2AA" w14:textId="77777777" w:rsidR="00AE317F" w:rsidRPr="009863F2" w:rsidRDefault="00AE317F" w:rsidP="009863F2">
      <w:pPr>
        <w:spacing w:after="0" w:line="240" w:lineRule="auto"/>
        <w:ind w:left="720" w:right="720"/>
        <w:jc w:val="center"/>
        <w:rPr>
          <w:rFonts w:ascii="Calibri Light" w:hAnsi="Calibri Light" w:cs="Arial"/>
          <w:b/>
          <w:sz w:val="24"/>
          <w:szCs w:val="24"/>
          <w:lang w:val="es-ES"/>
        </w:rPr>
      </w:pPr>
    </w:p>
    <w:p w14:paraId="3DA8655B" w14:textId="77777777" w:rsidR="00AE317F" w:rsidRPr="009863F2" w:rsidRDefault="00AE317F" w:rsidP="009863F2">
      <w:pPr>
        <w:spacing w:after="0" w:line="240" w:lineRule="auto"/>
        <w:ind w:left="720" w:right="720"/>
        <w:rPr>
          <w:rFonts w:ascii="Calibri Light" w:hAnsi="Calibri Light" w:cs="Arial"/>
          <w:sz w:val="24"/>
          <w:szCs w:val="24"/>
          <w:lang w:val="es-ES_tradnl"/>
        </w:rPr>
      </w:pPr>
    </w:p>
    <w:p w14:paraId="0045267C" w14:textId="77777777" w:rsidR="00AE317F" w:rsidRPr="009863F2" w:rsidRDefault="00AE317F" w:rsidP="009863F2">
      <w:pPr>
        <w:spacing w:after="0" w:line="240" w:lineRule="auto"/>
        <w:ind w:left="720" w:right="720"/>
        <w:rPr>
          <w:rFonts w:ascii="Calibri Light" w:hAnsi="Calibri Light" w:cs="Arial"/>
          <w:sz w:val="24"/>
          <w:szCs w:val="24"/>
          <w:lang w:val="es-ES_tradnl"/>
        </w:rPr>
      </w:pPr>
    </w:p>
    <w:p w14:paraId="003A6584" w14:textId="77777777" w:rsidR="001C4A4E" w:rsidRPr="009863F2" w:rsidRDefault="001C4A4E" w:rsidP="009863F2">
      <w:pPr>
        <w:spacing w:after="0" w:line="240" w:lineRule="auto"/>
        <w:ind w:left="720" w:right="720"/>
        <w:jc w:val="center"/>
        <w:rPr>
          <w:rFonts w:ascii="Calibri Light" w:hAnsi="Calibri Light" w:cs="Arial"/>
          <w:sz w:val="24"/>
          <w:szCs w:val="24"/>
          <w:lang w:val="es-ES"/>
        </w:rPr>
      </w:pPr>
    </w:p>
    <w:p w14:paraId="5B552622" w14:textId="77777777" w:rsidR="001C4A4E" w:rsidRPr="009863F2" w:rsidRDefault="001C4A4E" w:rsidP="009863F2">
      <w:pPr>
        <w:spacing w:after="0" w:line="240" w:lineRule="auto"/>
        <w:ind w:left="720" w:right="720"/>
        <w:jc w:val="center"/>
        <w:rPr>
          <w:rFonts w:ascii="Calibri Light" w:hAnsi="Calibri Light" w:cs="Arial"/>
          <w:sz w:val="24"/>
          <w:szCs w:val="24"/>
          <w:lang w:val="es-ES"/>
        </w:rPr>
      </w:pPr>
    </w:p>
    <w:p w14:paraId="766A7A59" w14:textId="2AE9C05B" w:rsidR="001C7DD9" w:rsidRPr="00794D99" w:rsidRDefault="001C7DD9" w:rsidP="001C7DD9">
      <w:pPr>
        <w:jc w:val="center"/>
        <w:rPr>
          <w:rFonts w:ascii="Calibri Light" w:hAnsi="Calibri Light" w:cs="Calibri Light"/>
          <w:sz w:val="32"/>
          <w:szCs w:val="24"/>
          <w:lang w:val="es-PE"/>
        </w:rPr>
      </w:pPr>
      <w:r w:rsidRPr="00794D99">
        <w:rPr>
          <w:rFonts w:ascii="Calibri Light" w:hAnsi="Calibri Light" w:cs="Calibri Light"/>
          <w:sz w:val="28"/>
          <w:lang w:val="es-PE"/>
        </w:rPr>
        <w:t>Manuel Fernandini, Christian Schneider, Joaquín Domínguez y Leticia Riquelme</w:t>
      </w:r>
    </w:p>
    <w:p w14:paraId="0F8FA5D2" w14:textId="77777777"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6659F215" w14:textId="77777777"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258C8A2D" w14:textId="00A117AD"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3F15FDA6" w14:textId="49B08CD1"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1517061F" w14:textId="2F527EB9"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0AD4402C" w14:textId="77777777" w:rsidR="001C7DD9" w:rsidRPr="00794D99" w:rsidRDefault="001C7DD9" w:rsidP="009863F2">
      <w:pPr>
        <w:spacing w:after="0" w:line="240" w:lineRule="auto"/>
        <w:ind w:left="720" w:right="720"/>
        <w:jc w:val="center"/>
        <w:rPr>
          <w:rFonts w:ascii="Calibri Light" w:hAnsi="Calibri Light" w:cs="Arial"/>
          <w:b/>
          <w:sz w:val="24"/>
          <w:szCs w:val="24"/>
          <w:lang w:val="es-PE"/>
        </w:rPr>
      </w:pPr>
    </w:p>
    <w:p w14:paraId="7B60DCDE" w14:textId="77777777" w:rsidR="00FC7D95" w:rsidRDefault="00FC7D95" w:rsidP="001C7DD9">
      <w:pPr>
        <w:pBdr>
          <w:top w:val="single" w:sz="4" w:space="1" w:color="auto"/>
          <w:left w:val="single" w:sz="4" w:space="4" w:color="auto"/>
          <w:bottom w:val="single" w:sz="4" w:space="1" w:color="auto"/>
          <w:right w:val="single" w:sz="4" w:space="4" w:color="auto"/>
        </w:pBdr>
        <w:spacing w:after="0" w:line="240" w:lineRule="auto"/>
        <w:ind w:left="720" w:right="720"/>
        <w:jc w:val="center"/>
        <w:rPr>
          <w:rFonts w:ascii="Calibri Light" w:hAnsi="Calibri Light" w:cs="Arial"/>
          <w:b/>
          <w:sz w:val="24"/>
          <w:szCs w:val="24"/>
          <w:lang w:val="es-ES"/>
        </w:rPr>
      </w:pPr>
    </w:p>
    <w:p w14:paraId="6CA4D47F" w14:textId="7D7B39AF" w:rsidR="00CF43E1" w:rsidRPr="009863F2" w:rsidRDefault="00CF43E1" w:rsidP="001C7DD9">
      <w:pPr>
        <w:pBdr>
          <w:top w:val="single" w:sz="4" w:space="1" w:color="auto"/>
          <w:left w:val="single" w:sz="4" w:space="4" w:color="auto"/>
          <w:bottom w:val="single" w:sz="4" w:space="1" w:color="auto"/>
          <w:right w:val="single" w:sz="4" w:space="4" w:color="auto"/>
        </w:pBdr>
        <w:spacing w:after="0" w:line="240" w:lineRule="auto"/>
        <w:ind w:left="720" w:right="720"/>
        <w:jc w:val="center"/>
        <w:rPr>
          <w:rFonts w:ascii="Calibri Light" w:hAnsi="Calibri Light" w:cs="Arial"/>
          <w:sz w:val="24"/>
          <w:szCs w:val="24"/>
          <w:lang w:val="es-ES"/>
        </w:rPr>
      </w:pPr>
      <w:r w:rsidRPr="009863F2">
        <w:rPr>
          <w:rFonts w:ascii="Calibri Light" w:hAnsi="Calibri Light" w:cs="Arial"/>
          <w:b/>
          <w:sz w:val="24"/>
          <w:szCs w:val="24"/>
          <w:lang w:val="es-ES"/>
        </w:rPr>
        <w:t>Resumen</w:t>
      </w:r>
    </w:p>
    <w:p w14:paraId="0A78F4D1" w14:textId="77777777" w:rsidR="00CF43E1" w:rsidRPr="009863F2" w:rsidRDefault="00CF43E1" w:rsidP="001C7DD9">
      <w:pPr>
        <w:pBdr>
          <w:top w:val="single" w:sz="4" w:space="1" w:color="auto"/>
          <w:left w:val="single" w:sz="4" w:space="4" w:color="auto"/>
          <w:bottom w:val="single" w:sz="4" w:space="1" w:color="auto"/>
          <w:right w:val="single" w:sz="4" w:space="4" w:color="auto"/>
        </w:pBdr>
        <w:spacing w:after="0" w:line="240" w:lineRule="auto"/>
        <w:ind w:left="720" w:right="720"/>
        <w:rPr>
          <w:rFonts w:ascii="Calibri Light" w:hAnsi="Calibri Light" w:cs="Arial"/>
          <w:sz w:val="24"/>
          <w:szCs w:val="24"/>
          <w:lang w:val="es-ES"/>
        </w:rPr>
      </w:pPr>
    </w:p>
    <w:p w14:paraId="5D549FF6" w14:textId="5D97DDC7" w:rsidR="00CF43E1" w:rsidRPr="009863F2" w:rsidRDefault="00DB6C00" w:rsidP="001C7DD9">
      <w:pPr>
        <w:pBdr>
          <w:top w:val="single" w:sz="4" w:space="1" w:color="auto"/>
          <w:left w:val="single" w:sz="4" w:space="4" w:color="auto"/>
          <w:bottom w:val="single" w:sz="4" w:space="1" w:color="auto"/>
          <w:right w:val="single" w:sz="4" w:space="4" w:color="auto"/>
        </w:pBdr>
        <w:spacing w:after="0" w:line="240" w:lineRule="auto"/>
        <w:ind w:left="720" w:right="720"/>
        <w:jc w:val="both"/>
        <w:rPr>
          <w:rFonts w:ascii="Calibri Light" w:hAnsi="Calibri Light" w:cs="Arial"/>
          <w:sz w:val="24"/>
          <w:szCs w:val="24"/>
          <w:lang w:val="es-ES"/>
        </w:rPr>
      </w:pPr>
      <w:r w:rsidRPr="009863F2">
        <w:rPr>
          <w:rFonts w:ascii="Calibri Light" w:hAnsi="Calibri Light" w:cs="Arial"/>
          <w:sz w:val="24"/>
          <w:szCs w:val="24"/>
          <w:lang w:val="es-ES"/>
        </w:rPr>
        <w:t xml:space="preserve">El mercado de vivienda tiene un carácter multidimensional que implica actores, relaciones y fallas que involucran tanto al ámbito público como </w:t>
      </w:r>
      <w:r w:rsidR="000E58E4" w:rsidRPr="009863F2">
        <w:rPr>
          <w:rFonts w:ascii="Calibri Light" w:hAnsi="Calibri Light" w:cs="Arial"/>
          <w:sz w:val="24"/>
          <w:szCs w:val="24"/>
          <w:lang w:val="es-ES"/>
        </w:rPr>
        <w:t xml:space="preserve">a los usuarios finales, los desarrolladores inmobiliarios y el mercado de capitales e instituciones financieras. </w:t>
      </w:r>
      <w:r w:rsidRPr="009863F2">
        <w:rPr>
          <w:rFonts w:ascii="Calibri Light" w:hAnsi="Calibri Light" w:cs="Arial"/>
          <w:sz w:val="24"/>
          <w:szCs w:val="24"/>
          <w:lang w:val="es-ES"/>
        </w:rPr>
        <w:t xml:space="preserve">En la región, </w:t>
      </w:r>
      <w:r w:rsidR="000E58E4" w:rsidRPr="009863F2">
        <w:rPr>
          <w:rFonts w:ascii="Calibri Light" w:hAnsi="Calibri Light" w:cs="Arial"/>
          <w:sz w:val="24"/>
          <w:szCs w:val="24"/>
          <w:lang w:val="es-ES"/>
        </w:rPr>
        <w:t xml:space="preserve">estos actores enfrentan </w:t>
      </w:r>
      <w:r w:rsidRPr="009863F2">
        <w:rPr>
          <w:rFonts w:ascii="Calibri Light" w:hAnsi="Calibri Light" w:cs="Arial"/>
          <w:sz w:val="24"/>
          <w:szCs w:val="24"/>
          <w:lang w:val="es-ES"/>
        </w:rPr>
        <w:t xml:space="preserve">retos particularmente desafiantes en materia de financiamiento. El presente documento tiene </w:t>
      </w:r>
      <w:r w:rsidR="004A12E9" w:rsidRPr="009863F2">
        <w:rPr>
          <w:rFonts w:ascii="Calibri Light" w:hAnsi="Calibri Light" w:cs="Arial"/>
          <w:sz w:val="24"/>
          <w:szCs w:val="24"/>
          <w:lang w:val="es-ES"/>
        </w:rPr>
        <w:t>por</w:t>
      </w:r>
      <w:r w:rsidRPr="009863F2">
        <w:rPr>
          <w:rFonts w:ascii="Calibri Light" w:hAnsi="Calibri Light" w:cs="Arial"/>
          <w:sz w:val="24"/>
          <w:szCs w:val="24"/>
          <w:lang w:val="es-ES"/>
        </w:rPr>
        <w:t xml:space="preserve"> objetivo justificar </w:t>
      </w:r>
      <w:r w:rsidR="004A12E9" w:rsidRPr="009863F2">
        <w:rPr>
          <w:rFonts w:ascii="Calibri Light" w:hAnsi="Calibri Light" w:cs="Arial"/>
          <w:sz w:val="24"/>
          <w:szCs w:val="24"/>
          <w:lang w:val="es-ES"/>
        </w:rPr>
        <w:t xml:space="preserve">las </w:t>
      </w:r>
      <w:r w:rsidRPr="009863F2">
        <w:rPr>
          <w:rFonts w:ascii="Calibri Light" w:hAnsi="Calibri Light" w:cs="Arial"/>
          <w:sz w:val="24"/>
          <w:szCs w:val="24"/>
          <w:lang w:val="es-ES"/>
        </w:rPr>
        <w:t>intervenciones de política pública específicas para este mercado y delinear algunos programas que pueden implementarse.</w:t>
      </w:r>
    </w:p>
    <w:p w14:paraId="032C450E" w14:textId="77777777" w:rsidR="009863F2" w:rsidRDefault="009863F2" w:rsidP="001C7DD9">
      <w:pPr>
        <w:pBdr>
          <w:top w:val="single" w:sz="4" w:space="1" w:color="auto"/>
          <w:left w:val="single" w:sz="4" w:space="4" w:color="auto"/>
          <w:bottom w:val="single" w:sz="4" w:space="1" w:color="auto"/>
          <w:right w:val="single" w:sz="4" w:space="4" w:color="auto"/>
        </w:pBdr>
        <w:spacing w:after="0" w:line="240" w:lineRule="auto"/>
        <w:ind w:left="720" w:right="720"/>
        <w:rPr>
          <w:rFonts w:ascii="Calibri Light" w:hAnsi="Calibri Light" w:cs="Arial"/>
          <w:sz w:val="24"/>
          <w:szCs w:val="24"/>
          <w:lang w:val="es-ES_tradnl"/>
        </w:rPr>
      </w:pPr>
    </w:p>
    <w:p w14:paraId="23C04A32" w14:textId="066C48AA" w:rsidR="00D425C3" w:rsidRPr="009863F2" w:rsidRDefault="00D425C3" w:rsidP="001C7DD9">
      <w:pPr>
        <w:pBdr>
          <w:top w:val="single" w:sz="4" w:space="1" w:color="auto"/>
          <w:left w:val="single" w:sz="4" w:space="4" w:color="auto"/>
          <w:bottom w:val="single" w:sz="4" w:space="1" w:color="auto"/>
          <w:right w:val="single" w:sz="4" w:space="4" w:color="auto"/>
        </w:pBdr>
        <w:spacing w:after="0" w:line="240" w:lineRule="auto"/>
        <w:ind w:left="720" w:right="720"/>
        <w:rPr>
          <w:rFonts w:ascii="Calibri Light" w:hAnsi="Calibri Light" w:cs="Arial"/>
          <w:sz w:val="24"/>
          <w:szCs w:val="24"/>
          <w:lang w:val="es-ES_tradnl"/>
        </w:rPr>
      </w:pPr>
      <w:r w:rsidRPr="009863F2">
        <w:rPr>
          <w:rFonts w:ascii="Calibri Light" w:hAnsi="Calibri Light" w:cs="Arial"/>
          <w:sz w:val="24"/>
          <w:szCs w:val="24"/>
          <w:lang w:val="es-ES_tradnl"/>
        </w:rPr>
        <w:t>Clasificaciones JEL: G1, G18, G21, G22, G23, G24, G28</w:t>
      </w:r>
    </w:p>
    <w:p w14:paraId="46EB6C9A" w14:textId="77777777" w:rsidR="009863F2" w:rsidRDefault="009863F2" w:rsidP="001C7DD9">
      <w:pPr>
        <w:pBdr>
          <w:top w:val="single" w:sz="4" w:space="1" w:color="auto"/>
          <w:left w:val="single" w:sz="4" w:space="4" w:color="auto"/>
          <w:bottom w:val="single" w:sz="4" w:space="1" w:color="auto"/>
          <w:right w:val="single" w:sz="4" w:space="4" w:color="auto"/>
        </w:pBdr>
        <w:spacing w:after="0" w:line="240" w:lineRule="auto"/>
        <w:ind w:left="720" w:right="720"/>
        <w:jc w:val="both"/>
        <w:rPr>
          <w:rFonts w:ascii="Calibri Light" w:hAnsi="Calibri Light" w:cs="Arial"/>
          <w:sz w:val="24"/>
          <w:szCs w:val="24"/>
          <w:lang w:val="es-ES_tradnl"/>
        </w:rPr>
      </w:pPr>
    </w:p>
    <w:p w14:paraId="12897663" w14:textId="3BCF5C63" w:rsidR="00CF43E1" w:rsidRDefault="00D425C3" w:rsidP="001C7DD9">
      <w:pPr>
        <w:pBdr>
          <w:top w:val="single" w:sz="4" w:space="1" w:color="auto"/>
          <w:left w:val="single" w:sz="4" w:space="4" w:color="auto"/>
          <w:bottom w:val="single" w:sz="4" w:space="1" w:color="auto"/>
          <w:right w:val="single" w:sz="4" w:space="4" w:color="auto"/>
        </w:pBdr>
        <w:spacing w:after="0" w:line="240" w:lineRule="auto"/>
        <w:ind w:left="720" w:right="720"/>
        <w:jc w:val="both"/>
        <w:rPr>
          <w:rFonts w:ascii="Calibri Light" w:hAnsi="Calibri Light" w:cs="Arial"/>
          <w:sz w:val="24"/>
          <w:szCs w:val="24"/>
          <w:lang w:val="es-ES_tradnl"/>
        </w:rPr>
      </w:pPr>
      <w:r w:rsidRPr="009863F2">
        <w:rPr>
          <w:rFonts w:ascii="Calibri Light" w:hAnsi="Calibri Light" w:cs="Arial"/>
          <w:sz w:val="24"/>
          <w:szCs w:val="24"/>
          <w:lang w:val="es-ES_tradnl"/>
        </w:rPr>
        <w:t>Palabras clave: financiamiento, vivienda, bancos de desarrollo, entidades financieras, mercado de capitales, desarrolladores inmobiliarios, usuarios finales</w:t>
      </w:r>
    </w:p>
    <w:p w14:paraId="1D182805" w14:textId="77777777" w:rsidR="00FC7D95" w:rsidRDefault="00FC7D95" w:rsidP="001C7DD9">
      <w:pPr>
        <w:pBdr>
          <w:top w:val="single" w:sz="4" w:space="1" w:color="auto"/>
          <w:left w:val="single" w:sz="4" w:space="4" w:color="auto"/>
          <w:bottom w:val="single" w:sz="4" w:space="1" w:color="auto"/>
          <w:right w:val="single" w:sz="4" w:space="4" w:color="auto"/>
        </w:pBdr>
        <w:spacing w:after="0" w:line="240" w:lineRule="auto"/>
        <w:ind w:left="720" w:right="720"/>
        <w:jc w:val="both"/>
        <w:rPr>
          <w:rFonts w:ascii="Calibri Light" w:hAnsi="Calibri Light" w:cs="Arial"/>
          <w:sz w:val="24"/>
          <w:szCs w:val="24"/>
          <w:lang w:val="es-ES_tradnl"/>
        </w:rPr>
      </w:pPr>
    </w:p>
    <w:p w14:paraId="455445D3" w14:textId="4D079B06" w:rsidR="00AA11EC" w:rsidRDefault="00AA11EC" w:rsidP="009863F2">
      <w:pPr>
        <w:spacing w:after="0" w:line="240" w:lineRule="auto"/>
        <w:ind w:left="720" w:right="720"/>
        <w:jc w:val="both"/>
        <w:rPr>
          <w:rFonts w:ascii="Calibri Light" w:hAnsi="Calibri Light" w:cs="Arial"/>
          <w:sz w:val="24"/>
          <w:szCs w:val="24"/>
          <w:lang w:val="es-ES_tradnl"/>
        </w:rPr>
      </w:pPr>
    </w:p>
    <w:p w14:paraId="37D31A2F" w14:textId="38A05138" w:rsidR="00AA11EC" w:rsidRDefault="00AA11EC" w:rsidP="009863F2">
      <w:pPr>
        <w:spacing w:after="0" w:line="240" w:lineRule="auto"/>
        <w:ind w:left="720" w:right="720"/>
        <w:jc w:val="both"/>
        <w:rPr>
          <w:rFonts w:ascii="Calibri Light" w:hAnsi="Calibri Light" w:cs="Arial"/>
          <w:sz w:val="24"/>
          <w:szCs w:val="24"/>
          <w:lang w:val="es-ES_tradnl"/>
        </w:rPr>
      </w:pPr>
    </w:p>
    <w:p w14:paraId="7958AA81" w14:textId="773AEF33" w:rsidR="00AA11EC" w:rsidRDefault="00AA11EC" w:rsidP="009863F2">
      <w:pPr>
        <w:spacing w:after="0" w:line="240" w:lineRule="auto"/>
        <w:ind w:left="720" w:right="720"/>
        <w:jc w:val="both"/>
        <w:rPr>
          <w:rFonts w:ascii="Calibri Light" w:hAnsi="Calibri Light" w:cs="Arial"/>
          <w:sz w:val="24"/>
          <w:szCs w:val="24"/>
          <w:lang w:val="es-ES_tradnl"/>
        </w:rPr>
      </w:pPr>
    </w:p>
    <w:p w14:paraId="2AF77243" w14:textId="71E73C31" w:rsidR="00AA11EC" w:rsidRDefault="00AA11EC" w:rsidP="009863F2">
      <w:pPr>
        <w:spacing w:after="0" w:line="240" w:lineRule="auto"/>
        <w:ind w:left="720" w:right="720"/>
        <w:jc w:val="both"/>
        <w:rPr>
          <w:rFonts w:ascii="Calibri Light" w:hAnsi="Calibri Light" w:cs="Arial"/>
          <w:sz w:val="24"/>
          <w:szCs w:val="24"/>
          <w:lang w:val="es-ES_tradnl"/>
        </w:rPr>
      </w:pPr>
    </w:p>
    <w:p w14:paraId="5BC40537" w14:textId="77777777" w:rsidR="002D2FB2" w:rsidRDefault="002D2FB2">
      <w:pPr>
        <w:rPr>
          <w:rFonts w:ascii="Calibri Light" w:hAnsi="Calibri Light" w:cs="Arial"/>
          <w:b/>
          <w:sz w:val="24"/>
          <w:szCs w:val="24"/>
          <w:lang w:val="es-ES_tradnl"/>
        </w:rPr>
      </w:pPr>
      <w:r>
        <w:rPr>
          <w:rFonts w:ascii="Calibri Light" w:hAnsi="Calibri Light" w:cs="Arial"/>
          <w:b/>
          <w:sz w:val="24"/>
          <w:szCs w:val="24"/>
          <w:lang w:val="es-ES_tradnl"/>
        </w:rPr>
        <w:br w:type="page"/>
      </w:r>
    </w:p>
    <w:p w14:paraId="706F4903"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120C990C"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0C83C678"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42D26150"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523E24C8"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5D02C9C7"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298A0684" w14:textId="77777777" w:rsidR="001C7DD9" w:rsidRDefault="001C7DD9" w:rsidP="001C7DD9">
      <w:pPr>
        <w:spacing w:after="0" w:line="240" w:lineRule="auto"/>
        <w:ind w:left="720" w:right="720"/>
        <w:rPr>
          <w:rFonts w:ascii="Calibri Light" w:hAnsi="Calibri Light" w:cs="Calibri Light"/>
          <w:sz w:val="24"/>
          <w:szCs w:val="24"/>
          <w:lang w:val="es-ES_tradnl"/>
        </w:rPr>
      </w:pPr>
    </w:p>
    <w:bookmarkStart w:id="0" w:name="_Hlk504460831"/>
    <w:p w14:paraId="3AA5FBBB" w14:textId="170EB031" w:rsidR="001C7DD9" w:rsidRDefault="001C7DD9" w:rsidP="001C7DD9">
      <w:pPr>
        <w:spacing w:after="0" w:line="240" w:lineRule="auto"/>
        <w:ind w:left="720" w:right="720"/>
        <w:rPr>
          <w:rFonts w:ascii="Calibri Light" w:hAnsi="Calibri Light" w:cs="Calibri Light"/>
          <w:sz w:val="24"/>
          <w:szCs w:val="24"/>
          <w:lang w:val="es-ES_tradnl"/>
        </w:rPr>
      </w:pPr>
      <w:r>
        <w:rPr>
          <w:rFonts w:ascii="Calibri Light" w:hAnsi="Calibri Light" w:cs="Calibri Light"/>
          <w:sz w:val="24"/>
          <w:szCs w:val="24"/>
          <w:lang w:val="es-ES_tradnl"/>
        </w:rPr>
        <w:fldChar w:fldCharType="begin"/>
      </w:r>
      <w:r>
        <w:rPr>
          <w:rFonts w:ascii="Calibri Light" w:hAnsi="Calibri Light" w:cs="Calibri Light"/>
          <w:sz w:val="24"/>
          <w:szCs w:val="24"/>
          <w:lang w:val="es-ES_tradnl"/>
        </w:rPr>
        <w:instrText xml:space="preserve"> HYPERLINK "</w:instrText>
      </w:r>
      <w:r w:rsidRPr="001C7DD9">
        <w:rPr>
          <w:rFonts w:ascii="Calibri Light" w:hAnsi="Calibri Light" w:cs="Calibri Light"/>
          <w:sz w:val="24"/>
          <w:szCs w:val="24"/>
          <w:lang w:val="es-ES_tradnl"/>
        </w:rPr>
        <w:instrText>http://www.iadb.org</w:instrText>
      </w:r>
      <w:r>
        <w:rPr>
          <w:rFonts w:ascii="Calibri Light" w:hAnsi="Calibri Light" w:cs="Calibri Light"/>
          <w:sz w:val="24"/>
          <w:szCs w:val="24"/>
          <w:lang w:val="es-ES_tradnl"/>
        </w:rPr>
        <w:instrText xml:space="preserve">" </w:instrText>
      </w:r>
      <w:r>
        <w:rPr>
          <w:rFonts w:ascii="Calibri Light" w:hAnsi="Calibri Light" w:cs="Calibri Light"/>
          <w:sz w:val="24"/>
          <w:szCs w:val="24"/>
          <w:lang w:val="es-ES_tradnl"/>
        </w:rPr>
        <w:fldChar w:fldCharType="separate"/>
      </w:r>
      <w:r w:rsidRPr="00733D03">
        <w:rPr>
          <w:rStyle w:val="Hyperlink"/>
          <w:rFonts w:ascii="Calibri Light" w:hAnsi="Calibri Light" w:cs="Calibri Light"/>
          <w:sz w:val="24"/>
          <w:szCs w:val="24"/>
          <w:lang w:val="es-ES_tradnl"/>
        </w:rPr>
        <w:t>http://www.iadb.org</w:t>
      </w:r>
      <w:r>
        <w:rPr>
          <w:rFonts w:ascii="Calibri Light" w:hAnsi="Calibri Light" w:cs="Calibri Light"/>
          <w:sz w:val="24"/>
          <w:szCs w:val="24"/>
          <w:lang w:val="es-ES_tradnl"/>
        </w:rPr>
        <w:fldChar w:fldCharType="end"/>
      </w:r>
    </w:p>
    <w:p w14:paraId="1FF6A279"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3F96AA1E" w14:textId="12F0CAEF" w:rsidR="001C7DD9" w:rsidRDefault="002D2FB2" w:rsidP="001C7DD9">
      <w:pPr>
        <w:spacing w:after="0" w:line="240" w:lineRule="auto"/>
        <w:ind w:left="720" w:right="720"/>
        <w:rPr>
          <w:rFonts w:ascii="Calibri Light" w:hAnsi="Calibri Light" w:cs="Calibri Light"/>
          <w:sz w:val="24"/>
          <w:szCs w:val="24"/>
          <w:lang w:val="es-ES_tradnl"/>
        </w:rPr>
      </w:pPr>
      <w:r w:rsidRPr="001C7DD9">
        <w:rPr>
          <w:rFonts w:ascii="Calibri Light" w:hAnsi="Calibri Light" w:cs="Calibri Light"/>
          <w:sz w:val="24"/>
          <w:szCs w:val="24"/>
          <w:lang w:val="es-ES_tradnl"/>
        </w:rPr>
        <w:t>Copyright © 2017 Banco Interamericano de Desarrollo. Esta obra se encuentra sujeta a una licencia Creative Commons IGO 3.0 Reconocimiento-NoComercial-SinObrasDerivadas (CC-IGO 3.0 BY-N</w:t>
      </w:r>
      <w:r w:rsidR="001C7DD9">
        <w:rPr>
          <w:rFonts w:ascii="Calibri Light" w:hAnsi="Calibri Light" w:cs="Calibri Light"/>
          <w:sz w:val="24"/>
          <w:szCs w:val="24"/>
          <w:lang w:val="es-ES_tradnl"/>
        </w:rPr>
        <w:t xml:space="preserve">C-ND) </w:t>
      </w:r>
      <w:r w:rsidRPr="001C7DD9">
        <w:rPr>
          <w:rFonts w:ascii="Calibri Light" w:hAnsi="Calibri Light" w:cs="Calibri Light"/>
          <w:sz w:val="24"/>
          <w:szCs w:val="24"/>
          <w:lang w:val="es-ES_tradnl"/>
        </w:rPr>
        <w:t>(</w:t>
      </w:r>
      <w:hyperlink r:id="rId8" w:history="1">
        <w:r w:rsidR="001C7DD9" w:rsidRPr="00733D03">
          <w:rPr>
            <w:rStyle w:val="Hyperlink"/>
            <w:rFonts w:ascii="Calibri Light" w:hAnsi="Calibri Light" w:cs="Calibri Light"/>
            <w:sz w:val="24"/>
            <w:szCs w:val="24"/>
            <w:lang w:val="es-ES_tradnl"/>
          </w:rPr>
          <w:t>http://creativecommons.org/licenses/by-nc-nd/3.0/igo/legalcode</w:t>
        </w:r>
      </w:hyperlink>
      <w:r w:rsidRPr="001C7DD9">
        <w:rPr>
          <w:rFonts w:ascii="Calibri Light" w:hAnsi="Calibri Light" w:cs="Calibri Light"/>
          <w:sz w:val="24"/>
          <w:szCs w:val="24"/>
          <w:lang w:val="es-ES_tradnl"/>
        </w:rPr>
        <w:t>) y puede ser reproducida para cualquier uso nocomercial otorgando el reconocimiento respectivo al BID. No se permiten obras derivadas.</w:t>
      </w:r>
    </w:p>
    <w:p w14:paraId="6B1C0E73"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078878BB" w14:textId="77777777" w:rsidR="001C7DD9" w:rsidRDefault="002D2FB2" w:rsidP="001C7DD9">
      <w:pPr>
        <w:spacing w:after="0" w:line="240" w:lineRule="auto"/>
        <w:ind w:left="720" w:right="720"/>
        <w:rPr>
          <w:rFonts w:ascii="Calibri Light" w:hAnsi="Calibri Light" w:cs="Calibri Light"/>
          <w:sz w:val="24"/>
          <w:szCs w:val="24"/>
          <w:lang w:val="es-ES_tradnl"/>
        </w:rPr>
      </w:pPr>
      <w:r w:rsidRPr="001C7DD9">
        <w:rPr>
          <w:rFonts w:ascii="Calibri Light" w:hAnsi="Calibri Light" w:cs="Calibri Light"/>
          <w:sz w:val="24"/>
          <w:szCs w:val="24"/>
          <w:lang w:val="es-ES_tradnl"/>
        </w:rPr>
        <w:t>Cualquier disputa relacionada con el uso de las obras del BID que no pueda resolverse amistosamente se someterá a arbitraje de conformidad con las reglas de la CNUDMI (UNCITRAL). El uso del nombre del BID para cualquier fin distinto al reconocimiento respectivo y el uso del logotipo del BID, no están autorizados por esta licencia CC-IGO y requieren de un acuerdo de licencia adicional.</w:t>
      </w:r>
    </w:p>
    <w:p w14:paraId="0B2BDD6F"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1312D7E3" w14:textId="77777777" w:rsidR="001C7DD9" w:rsidRDefault="002D2FB2" w:rsidP="001C7DD9">
      <w:pPr>
        <w:spacing w:after="0" w:line="240" w:lineRule="auto"/>
        <w:ind w:left="720" w:right="720"/>
        <w:rPr>
          <w:rFonts w:ascii="Calibri Light" w:hAnsi="Calibri Light" w:cs="Calibri Light"/>
          <w:sz w:val="24"/>
          <w:szCs w:val="24"/>
          <w:lang w:val="es-ES_tradnl"/>
        </w:rPr>
      </w:pPr>
      <w:r w:rsidRPr="001C7DD9">
        <w:rPr>
          <w:rFonts w:ascii="Calibri Light" w:hAnsi="Calibri Light" w:cs="Calibri Light"/>
          <w:sz w:val="24"/>
          <w:szCs w:val="24"/>
          <w:lang w:val="es-ES_tradnl"/>
        </w:rPr>
        <w:t>Note que el enlace URL incluye términos y condiciones adicionales de esta licencia.</w:t>
      </w:r>
    </w:p>
    <w:p w14:paraId="44202D7B" w14:textId="77777777" w:rsidR="001C7DD9" w:rsidRDefault="001C7DD9" w:rsidP="001C7DD9">
      <w:pPr>
        <w:spacing w:after="0" w:line="240" w:lineRule="auto"/>
        <w:ind w:left="720" w:right="720"/>
        <w:rPr>
          <w:rFonts w:ascii="Calibri Light" w:hAnsi="Calibri Light" w:cs="Calibri Light"/>
          <w:sz w:val="24"/>
          <w:szCs w:val="24"/>
          <w:lang w:val="es-ES_tradnl"/>
        </w:rPr>
      </w:pPr>
    </w:p>
    <w:p w14:paraId="4EFD2B6C" w14:textId="5711B6C9" w:rsidR="00AA11EC" w:rsidRDefault="002D2FB2" w:rsidP="001C7DD9">
      <w:pPr>
        <w:spacing w:after="0" w:line="240" w:lineRule="auto"/>
        <w:ind w:left="720" w:right="720"/>
        <w:rPr>
          <w:rFonts w:ascii="Calibri Light" w:hAnsi="Calibri Light" w:cs="Calibri Light"/>
          <w:b/>
          <w:sz w:val="24"/>
          <w:szCs w:val="24"/>
          <w:lang w:val="es-ES_tradnl"/>
        </w:rPr>
      </w:pPr>
      <w:r w:rsidRPr="001C7DD9">
        <w:rPr>
          <w:rFonts w:ascii="Calibri Light" w:hAnsi="Calibri Light" w:cs="Calibri Light"/>
          <w:sz w:val="24"/>
          <w:szCs w:val="24"/>
          <w:lang w:val="es-ES_tradnl"/>
        </w:rPr>
        <w:t>Las opiniones expresadas en esta publicación son de los autores y no necesariamente reflejan el punto de vista del Banco Interamericano de Desarrollo, de su Directorio Ejecutivo ni de los países que representa.</w:t>
      </w:r>
      <w:r w:rsidRPr="001C7DD9">
        <w:rPr>
          <w:rFonts w:ascii="Calibri Light" w:hAnsi="Calibri Light" w:cs="Calibri Light"/>
          <w:b/>
          <w:sz w:val="24"/>
          <w:szCs w:val="24"/>
          <w:lang w:val="es-ES_tradnl"/>
        </w:rPr>
        <w:t xml:space="preserve"> </w:t>
      </w:r>
    </w:p>
    <w:p w14:paraId="5D9E1AE6" w14:textId="4F1B1EED" w:rsidR="001C7DD9" w:rsidRDefault="001C7DD9" w:rsidP="001C7DD9">
      <w:pPr>
        <w:spacing w:after="0" w:line="240" w:lineRule="auto"/>
        <w:ind w:left="720" w:right="720"/>
        <w:rPr>
          <w:rFonts w:ascii="Calibri Light" w:hAnsi="Calibri Light" w:cs="Calibri Light"/>
          <w:b/>
          <w:sz w:val="24"/>
          <w:szCs w:val="24"/>
          <w:lang w:val="es-ES_tradnl"/>
        </w:rPr>
      </w:pPr>
    </w:p>
    <w:p w14:paraId="5E7E5060" w14:textId="1E8CC0B6" w:rsidR="001C7DD9" w:rsidRPr="001C7DD9" w:rsidRDefault="001C7DD9" w:rsidP="001C7DD9">
      <w:pPr>
        <w:spacing w:after="0" w:line="240" w:lineRule="auto"/>
        <w:ind w:left="720" w:right="720"/>
        <w:rPr>
          <w:rFonts w:ascii="Calibri Light" w:hAnsi="Calibri Light" w:cs="Calibri Light"/>
          <w:sz w:val="24"/>
          <w:szCs w:val="24"/>
          <w:lang w:val="es-ES_tradnl"/>
        </w:rPr>
      </w:pPr>
      <w:r>
        <w:rPr>
          <w:noProof/>
        </w:rPr>
        <w:drawing>
          <wp:inline distT="0" distB="0" distL="0" distR="0" wp14:anchorId="18C9C19D" wp14:editId="77B3ABD8">
            <wp:extent cx="16002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0200" cy="561975"/>
                    </a:xfrm>
                    <a:prstGeom prst="rect">
                      <a:avLst/>
                    </a:prstGeom>
                  </pic:spPr>
                </pic:pic>
              </a:graphicData>
            </a:graphic>
          </wp:inline>
        </w:drawing>
      </w:r>
    </w:p>
    <w:p w14:paraId="3E8F7B86" w14:textId="77777777" w:rsidR="00BD486A" w:rsidRPr="009863F2" w:rsidRDefault="00BD486A" w:rsidP="009863F2">
      <w:pPr>
        <w:spacing w:after="0" w:line="240" w:lineRule="auto"/>
        <w:rPr>
          <w:rFonts w:ascii="Calibri Light" w:hAnsi="Calibri Light" w:cs="Arial"/>
          <w:b/>
          <w:sz w:val="24"/>
          <w:szCs w:val="24"/>
          <w:lang w:val="es-ES"/>
        </w:rPr>
      </w:pPr>
    </w:p>
    <w:p w14:paraId="21828911" w14:textId="6D4AB5B8" w:rsidR="00CF43E1" w:rsidRPr="001C7DD9" w:rsidRDefault="001C7DD9" w:rsidP="001C7DD9">
      <w:pPr>
        <w:spacing w:after="0" w:line="240" w:lineRule="auto"/>
        <w:ind w:left="720" w:right="720"/>
        <w:rPr>
          <w:rFonts w:ascii="Calibri Light" w:hAnsi="Calibri Light" w:cs="Arial"/>
          <w:b/>
          <w:sz w:val="24"/>
          <w:szCs w:val="24"/>
          <w:lang w:val="pt-BR"/>
        </w:rPr>
      </w:pPr>
      <w:r w:rsidRPr="001C7DD9">
        <w:rPr>
          <w:rFonts w:ascii="Calibri Light" w:hAnsi="Calibri Light" w:cs="Calibri Light"/>
          <w:sz w:val="24"/>
          <w:szCs w:val="24"/>
          <w:lang w:val="pt-BR"/>
        </w:rPr>
        <w:t xml:space="preserve">Contacto: Manuel Fernandini, </w:t>
      </w:r>
      <w:hyperlink r:id="rId10" w:history="1">
        <w:r w:rsidRPr="001C7DD9">
          <w:rPr>
            <w:rStyle w:val="Hyperlink"/>
            <w:rFonts w:ascii="Calibri Light" w:hAnsi="Calibri Light" w:cs="Calibri Light"/>
            <w:sz w:val="24"/>
            <w:szCs w:val="24"/>
            <w:lang w:val="pt-BR"/>
          </w:rPr>
          <w:t>manuelfe@iadb.org</w:t>
        </w:r>
      </w:hyperlink>
      <w:bookmarkEnd w:id="0"/>
      <w:r w:rsidRPr="001C7DD9">
        <w:rPr>
          <w:rFonts w:ascii="Calibri Light" w:hAnsi="Calibri Light" w:cs="Arial"/>
          <w:b/>
          <w:sz w:val="24"/>
          <w:szCs w:val="24"/>
          <w:lang w:val="pt-BR"/>
        </w:rPr>
        <w:t xml:space="preserve"> </w:t>
      </w:r>
      <w:r w:rsidR="00CF43E1" w:rsidRPr="001C7DD9">
        <w:rPr>
          <w:rFonts w:ascii="Calibri Light" w:hAnsi="Calibri Light" w:cs="Arial"/>
          <w:b/>
          <w:sz w:val="24"/>
          <w:szCs w:val="24"/>
          <w:lang w:val="pt-BR"/>
        </w:rPr>
        <w:br w:type="page"/>
      </w:r>
    </w:p>
    <w:p w14:paraId="27D10C4C" w14:textId="46CEBCD2" w:rsidR="00F70322" w:rsidRPr="009863F2" w:rsidRDefault="003278ED" w:rsidP="009863F2">
      <w:pPr>
        <w:spacing w:after="0" w:line="240" w:lineRule="auto"/>
        <w:jc w:val="center"/>
        <w:rPr>
          <w:rFonts w:ascii="Calibri Light" w:hAnsi="Calibri Light" w:cs="Arial"/>
          <w:b/>
          <w:sz w:val="24"/>
          <w:szCs w:val="24"/>
          <w:lang w:val="es-ES"/>
        </w:rPr>
      </w:pPr>
      <w:r w:rsidRPr="009863F2">
        <w:rPr>
          <w:rFonts w:ascii="Calibri Light" w:hAnsi="Calibri Light" w:cs="Arial"/>
          <w:b/>
          <w:sz w:val="24"/>
          <w:szCs w:val="24"/>
          <w:lang w:val="es-ES"/>
        </w:rPr>
        <w:lastRenderedPageBreak/>
        <w:t>Í</w:t>
      </w:r>
      <w:r w:rsidR="00F70322" w:rsidRPr="009863F2">
        <w:rPr>
          <w:rFonts w:ascii="Calibri Light" w:hAnsi="Calibri Light" w:cs="Arial"/>
          <w:b/>
          <w:sz w:val="24"/>
          <w:szCs w:val="24"/>
          <w:lang w:val="es-ES"/>
        </w:rPr>
        <w:t>NDICE</w:t>
      </w:r>
    </w:p>
    <w:sdt>
      <w:sdtPr>
        <w:rPr>
          <w:rFonts w:ascii="Calibri Light" w:hAnsi="Calibri Light" w:cs="Arial"/>
          <w:b/>
          <w:szCs w:val="24"/>
          <w:lang w:val="es-ES"/>
        </w:rPr>
        <w:id w:val="-1463023300"/>
        <w:docPartObj>
          <w:docPartGallery w:val="Table of Contents"/>
          <w:docPartUnique/>
        </w:docPartObj>
      </w:sdtPr>
      <w:sdtEndPr>
        <w:rPr>
          <w:rFonts w:cs="Calibri Light"/>
          <w:b w:val="0"/>
          <w:noProof/>
        </w:rPr>
      </w:sdtEndPr>
      <w:sdtContent>
        <w:p w14:paraId="1EE3DD96" w14:textId="746D5505" w:rsidR="00533C57" w:rsidRPr="001C7DD9" w:rsidRDefault="00315DCC">
          <w:pPr>
            <w:pStyle w:val="TOC1"/>
            <w:rPr>
              <w:rFonts w:ascii="Calibri Light" w:eastAsiaTheme="minorEastAsia" w:hAnsi="Calibri Light" w:cs="Calibri Light"/>
              <w:smallCaps w:val="0"/>
              <w:noProof/>
              <w:sz w:val="22"/>
            </w:rPr>
          </w:pPr>
          <w:r w:rsidRPr="001C7DD9">
            <w:rPr>
              <w:rFonts w:ascii="Calibri Light" w:hAnsi="Calibri Light" w:cs="Calibri Light"/>
              <w:szCs w:val="24"/>
              <w:lang w:val="es-ES"/>
            </w:rPr>
            <w:fldChar w:fldCharType="begin"/>
          </w:r>
          <w:r w:rsidRPr="001C7DD9">
            <w:rPr>
              <w:rFonts w:ascii="Calibri Light" w:hAnsi="Calibri Light" w:cs="Calibri Light"/>
              <w:szCs w:val="24"/>
              <w:lang w:val="es-ES"/>
            </w:rPr>
            <w:instrText xml:space="preserve"> TOC \o "1-3" \h \z \u </w:instrText>
          </w:r>
          <w:r w:rsidRPr="001C7DD9">
            <w:rPr>
              <w:rFonts w:ascii="Calibri Light" w:hAnsi="Calibri Light" w:cs="Calibri Light"/>
              <w:szCs w:val="24"/>
              <w:lang w:val="es-ES"/>
            </w:rPr>
            <w:fldChar w:fldCharType="separate"/>
          </w:r>
          <w:hyperlink w:anchor="_Toc504406827" w:history="1">
            <w:r w:rsidR="00533C57" w:rsidRPr="001C7DD9">
              <w:rPr>
                <w:rStyle w:val="Hyperlink"/>
                <w:rFonts w:ascii="Calibri Light" w:hAnsi="Calibri Light" w:cs="Calibri Light"/>
                <w:noProof/>
              </w:rPr>
              <w:t>1.</w:t>
            </w:r>
            <w:r w:rsidR="00533C57" w:rsidRPr="001C7DD9">
              <w:rPr>
                <w:rFonts w:ascii="Calibri Light" w:eastAsiaTheme="minorEastAsia" w:hAnsi="Calibri Light" w:cs="Calibri Light"/>
                <w:smallCaps w:val="0"/>
                <w:noProof/>
                <w:sz w:val="22"/>
              </w:rPr>
              <w:tab/>
            </w:r>
            <w:r w:rsidR="00533C57" w:rsidRPr="001C7DD9">
              <w:rPr>
                <w:rStyle w:val="Hyperlink"/>
                <w:rFonts w:ascii="Calibri Light" w:hAnsi="Calibri Light" w:cs="Calibri Light"/>
                <w:noProof/>
              </w:rPr>
              <w:t>ANTECEDENTES Y ALCANCE</w:t>
            </w:r>
            <w:r w:rsidR="00533C57" w:rsidRPr="001C7DD9">
              <w:rPr>
                <w:rFonts w:ascii="Calibri Light" w:hAnsi="Calibri Light" w:cs="Calibri Light"/>
                <w:noProof/>
                <w:webHidden/>
              </w:rPr>
              <w:tab/>
            </w:r>
            <w:r w:rsidR="00533C57" w:rsidRPr="001C7DD9">
              <w:rPr>
                <w:rFonts w:ascii="Calibri Light" w:hAnsi="Calibri Light" w:cs="Calibri Light"/>
                <w:noProof/>
                <w:webHidden/>
              </w:rPr>
              <w:fldChar w:fldCharType="begin"/>
            </w:r>
            <w:r w:rsidR="00533C57" w:rsidRPr="001C7DD9">
              <w:rPr>
                <w:rFonts w:ascii="Calibri Light" w:hAnsi="Calibri Light" w:cs="Calibri Light"/>
                <w:noProof/>
                <w:webHidden/>
              </w:rPr>
              <w:instrText xml:space="preserve"> PAGEREF _Toc504406827 \h </w:instrText>
            </w:r>
            <w:r w:rsidR="00533C57" w:rsidRPr="001C7DD9">
              <w:rPr>
                <w:rFonts w:ascii="Calibri Light" w:hAnsi="Calibri Light" w:cs="Calibri Light"/>
                <w:noProof/>
                <w:webHidden/>
              </w:rPr>
            </w:r>
            <w:r w:rsidR="00533C57" w:rsidRPr="001C7DD9">
              <w:rPr>
                <w:rFonts w:ascii="Calibri Light" w:hAnsi="Calibri Light" w:cs="Calibri Light"/>
                <w:noProof/>
                <w:webHidden/>
              </w:rPr>
              <w:fldChar w:fldCharType="separate"/>
            </w:r>
            <w:r w:rsidR="00533C57" w:rsidRPr="001C7DD9">
              <w:rPr>
                <w:rFonts w:ascii="Calibri Light" w:hAnsi="Calibri Light" w:cs="Calibri Light"/>
                <w:noProof/>
                <w:webHidden/>
              </w:rPr>
              <w:t>3</w:t>
            </w:r>
            <w:r w:rsidR="00533C57" w:rsidRPr="001C7DD9">
              <w:rPr>
                <w:rFonts w:ascii="Calibri Light" w:hAnsi="Calibri Light" w:cs="Calibri Light"/>
                <w:noProof/>
                <w:webHidden/>
              </w:rPr>
              <w:fldChar w:fldCharType="end"/>
            </w:r>
          </w:hyperlink>
        </w:p>
        <w:p w14:paraId="26B8941E" w14:textId="034A7E44" w:rsidR="00533C57" w:rsidRPr="001C7DD9" w:rsidRDefault="00674810" w:rsidP="00FC7D95">
          <w:pPr>
            <w:pStyle w:val="TOC2"/>
            <w:rPr>
              <w:rFonts w:eastAsiaTheme="minorEastAsia"/>
              <w:noProof/>
              <w:sz w:val="22"/>
            </w:rPr>
          </w:pPr>
          <w:hyperlink w:anchor="_Toc504406828" w:history="1">
            <w:r w:rsidR="00533C57" w:rsidRPr="001C7DD9">
              <w:rPr>
                <w:rStyle w:val="Hyperlink"/>
                <w:rFonts w:ascii="Calibri Light" w:hAnsi="Calibri Light" w:cs="Calibri Light"/>
                <w:noProof/>
                <w:lang w:val="es-ES_tradnl"/>
              </w:rPr>
              <w:t>1.1.</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Definición del problema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_Toc504406828 \h </w:instrText>
            </w:r>
            <w:r w:rsidR="00533C57" w:rsidRPr="001C7DD9">
              <w:rPr>
                <w:noProof/>
                <w:webHidden/>
              </w:rPr>
            </w:r>
            <w:r w:rsidR="00533C57" w:rsidRPr="001C7DD9">
              <w:rPr>
                <w:noProof/>
                <w:webHidden/>
              </w:rPr>
              <w:fldChar w:fldCharType="separate"/>
            </w:r>
            <w:r w:rsidR="00533C57" w:rsidRPr="001C7DD9">
              <w:rPr>
                <w:noProof/>
                <w:webHidden/>
              </w:rPr>
              <w:t>3</w:t>
            </w:r>
            <w:r w:rsidR="00533C57" w:rsidRPr="001C7DD9">
              <w:rPr>
                <w:noProof/>
                <w:webHidden/>
              </w:rPr>
              <w:fldChar w:fldCharType="end"/>
            </w:r>
          </w:hyperlink>
        </w:p>
        <w:p w14:paraId="12170776" w14:textId="0B57C0FC" w:rsidR="00533C57" w:rsidRPr="001C7DD9" w:rsidRDefault="00674810" w:rsidP="00FC7D95">
          <w:pPr>
            <w:pStyle w:val="TOC2"/>
            <w:rPr>
              <w:rFonts w:eastAsiaTheme="minorEastAsia"/>
              <w:noProof/>
              <w:sz w:val="22"/>
            </w:rPr>
          </w:pPr>
          <w:hyperlink w:anchor="_Toc504406829" w:history="1">
            <w:r w:rsidR="00533C57" w:rsidRPr="001C7DD9">
              <w:rPr>
                <w:rStyle w:val="Hyperlink"/>
                <w:rFonts w:ascii="Calibri Light" w:hAnsi="Calibri Light" w:cs="Calibri Light"/>
                <w:noProof/>
                <w:lang w:val="es-ES_tradnl"/>
              </w:rPr>
              <w:t>1.2.</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Factores que definen el problema de la asequibilidad de vivienda formal</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_Toc504406829 \h </w:instrText>
            </w:r>
            <w:r w:rsidR="00533C57" w:rsidRPr="001C7DD9">
              <w:rPr>
                <w:noProof/>
                <w:webHidden/>
              </w:rPr>
            </w:r>
            <w:r w:rsidR="00533C57" w:rsidRPr="001C7DD9">
              <w:rPr>
                <w:noProof/>
                <w:webHidden/>
              </w:rPr>
              <w:fldChar w:fldCharType="separate"/>
            </w:r>
            <w:r w:rsidR="00533C57" w:rsidRPr="001C7DD9">
              <w:rPr>
                <w:noProof/>
                <w:webHidden/>
              </w:rPr>
              <w:t>3</w:t>
            </w:r>
            <w:r w:rsidR="00533C57" w:rsidRPr="001C7DD9">
              <w:rPr>
                <w:noProof/>
                <w:webHidden/>
              </w:rPr>
              <w:fldChar w:fldCharType="end"/>
            </w:r>
          </w:hyperlink>
        </w:p>
        <w:p w14:paraId="1885F510" w14:textId="42547501" w:rsidR="00533C57" w:rsidRPr="001C7DD9" w:rsidRDefault="00674810" w:rsidP="00FC7D95">
          <w:pPr>
            <w:pStyle w:val="TOC2"/>
            <w:ind w:left="1134" w:hanging="573"/>
            <w:rPr>
              <w:rFonts w:eastAsiaTheme="minorEastAsia"/>
              <w:noProof/>
              <w:sz w:val="22"/>
            </w:rPr>
          </w:pPr>
          <w:hyperlink w:anchor="_Toc504406830" w:history="1">
            <w:r w:rsidR="00533C57" w:rsidRPr="001C7DD9">
              <w:rPr>
                <w:rStyle w:val="Hyperlink"/>
                <w:rFonts w:ascii="Calibri Light" w:hAnsi="Calibri Light" w:cs="Calibri Light"/>
                <w:noProof/>
                <w:lang w:val="es-ES_tradnl"/>
              </w:rPr>
              <w:t>1.3.</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El mercado de financiamiento para la vivienda: su situación en ALC y las aproximaciones de política pública desarrolladas</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_Toc504406830 \h </w:instrText>
            </w:r>
            <w:r w:rsidR="00533C57" w:rsidRPr="001C7DD9">
              <w:rPr>
                <w:noProof/>
                <w:webHidden/>
              </w:rPr>
            </w:r>
            <w:r w:rsidR="00533C57" w:rsidRPr="001C7DD9">
              <w:rPr>
                <w:noProof/>
                <w:webHidden/>
              </w:rPr>
              <w:fldChar w:fldCharType="separate"/>
            </w:r>
            <w:r w:rsidR="00533C57" w:rsidRPr="001C7DD9">
              <w:rPr>
                <w:noProof/>
                <w:webHidden/>
              </w:rPr>
              <w:t>4</w:t>
            </w:r>
            <w:r w:rsidR="00533C57" w:rsidRPr="001C7DD9">
              <w:rPr>
                <w:noProof/>
                <w:webHidden/>
              </w:rPr>
              <w:fldChar w:fldCharType="end"/>
            </w:r>
          </w:hyperlink>
        </w:p>
        <w:p w14:paraId="66172D51" w14:textId="5CF1DACB" w:rsidR="00533C57" w:rsidRPr="001C7DD9" w:rsidRDefault="00674810" w:rsidP="00FC7D95">
          <w:pPr>
            <w:pStyle w:val="TOC2"/>
            <w:ind w:left="1134" w:hanging="573"/>
            <w:rPr>
              <w:rFonts w:eastAsiaTheme="minorEastAsia"/>
              <w:noProof/>
              <w:sz w:val="22"/>
            </w:rPr>
          </w:pPr>
          <w:hyperlink w:anchor="_Toc504406831" w:history="1">
            <w:r w:rsidR="00533C57" w:rsidRPr="001C7DD9">
              <w:rPr>
                <w:rStyle w:val="Hyperlink"/>
                <w:rFonts w:ascii="Calibri Light" w:hAnsi="Calibri Light" w:cs="Calibri Light"/>
                <w:noProof/>
                <w:lang w:val="es-ES_tradnl"/>
              </w:rPr>
              <w:t>1.4.</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Elementos a tener en cuenta en la construcción de un adecuado sistema de financiamiento para la vivienda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_Toc504406831 \h </w:instrText>
            </w:r>
            <w:r w:rsidR="00533C57" w:rsidRPr="001C7DD9">
              <w:rPr>
                <w:noProof/>
                <w:webHidden/>
              </w:rPr>
            </w:r>
            <w:r w:rsidR="00533C57" w:rsidRPr="001C7DD9">
              <w:rPr>
                <w:noProof/>
                <w:webHidden/>
              </w:rPr>
              <w:fldChar w:fldCharType="separate"/>
            </w:r>
            <w:r w:rsidR="00533C57" w:rsidRPr="001C7DD9">
              <w:rPr>
                <w:noProof/>
                <w:webHidden/>
              </w:rPr>
              <w:t>6</w:t>
            </w:r>
            <w:r w:rsidR="00533C57" w:rsidRPr="001C7DD9">
              <w:rPr>
                <w:noProof/>
                <w:webHidden/>
              </w:rPr>
              <w:fldChar w:fldCharType="end"/>
            </w:r>
          </w:hyperlink>
        </w:p>
        <w:p w14:paraId="223279B5" w14:textId="35F9ABB3" w:rsidR="00533C57" w:rsidRPr="001C7DD9" w:rsidRDefault="00674810">
          <w:pPr>
            <w:pStyle w:val="TOC1"/>
            <w:rPr>
              <w:rFonts w:ascii="Calibri Light" w:eastAsiaTheme="minorEastAsia" w:hAnsi="Calibri Light" w:cs="Calibri Light"/>
              <w:smallCaps w:val="0"/>
              <w:noProof/>
              <w:sz w:val="22"/>
            </w:rPr>
          </w:pPr>
          <w:hyperlink w:anchor="_Toc504406832" w:history="1">
            <w:r w:rsidR="00533C57" w:rsidRPr="001C7DD9">
              <w:rPr>
                <w:rStyle w:val="Hyperlink"/>
                <w:rFonts w:ascii="Calibri Light" w:hAnsi="Calibri Light" w:cs="Calibri Light"/>
                <w:noProof/>
              </w:rPr>
              <w:t>2.</w:t>
            </w:r>
            <w:r w:rsidR="00533C57" w:rsidRPr="001C7DD9">
              <w:rPr>
                <w:rFonts w:ascii="Calibri Light" w:eastAsiaTheme="minorEastAsia" w:hAnsi="Calibri Light" w:cs="Calibri Light"/>
                <w:smallCaps w:val="0"/>
                <w:noProof/>
                <w:sz w:val="22"/>
              </w:rPr>
              <w:tab/>
            </w:r>
            <w:r w:rsidR="00533C57" w:rsidRPr="001C7DD9">
              <w:rPr>
                <w:rStyle w:val="Hyperlink"/>
                <w:rFonts w:ascii="Calibri Light" w:hAnsi="Calibri Light" w:cs="Calibri Light"/>
                <w:noProof/>
              </w:rPr>
              <w:t>LAS NECESIDADES DE FINANCIAMIENTO DEL MERCADO DE VIVIENDA</w:t>
            </w:r>
            <w:r w:rsidR="00533C57" w:rsidRPr="001C7DD9">
              <w:rPr>
                <w:rFonts w:ascii="Calibri Light" w:hAnsi="Calibri Light" w:cs="Calibri Light"/>
                <w:noProof/>
                <w:webHidden/>
              </w:rPr>
              <w:tab/>
            </w:r>
            <w:r w:rsidR="00533C57" w:rsidRPr="001C7DD9">
              <w:rPr>
                <w:rFonts w:ascii="Calibri Light" w:hAnsi="Calibri Light" w:cs="Calibri Light"/>
                <w:noProof/>
                <w:webHidden/>
              </w:rPr>
              <w:fldChar w:fldCharType="begin"/>
            </w:r>
            <w:r w:rsidR="00533C57" w:rsidRPr="001C7DD9">
              <w:rPr>
                <w:rFonts w:ascii="Calibri Light" w:hAnsi="Calibri Light" w:cs="Calibri Light"/>
                <w:noProof/>
                <w:webHidden/>
              </w:rPr>
              <w:instrText xml:space="preserve"> PAGEREF _Toc504406832 \h </w:instrText>
            </w:r>
            <w:r w:rsidR="00533C57" w:rsidRPr="001C7DD9">
              <w:rPr>
                <w:rFonts w:ascii="Calibri Light" w:hAnsi="Calibri Light" w:cs="Calibri Light"/>
                <w:noProof/>
                <w:webHidden/>
              </w:rPr>
            </w:r>
            <w:r w:rsidR="00533C57" w:rsidRPr="001C7DD9">
              <w:rPr>
                <w:rFonts w:ascii="Calibri Light" w:hAnsi="Calibri Light" w:cs="Calibri Light"/>
                <w:noProof/>
                <w:webHidden/>
              </w:rPr>
              <w:fldChar w:fldCharType="separate"/>
            </w:r>
            <w:r w:rsidR="00533C57" w:rsidRPr="001C7DD9">
              <w:rPr>
                <w:rFonts w:ascii="Calibri Light" w:hAnsi="Calibri Light" w:cs="Calibri Light"/>
                <w:noProof/>
                <w:webHidden/>
              </w:rPr>
              <w:t>8</w:t>
            </w:r>
            <w:r w:rsidR="00533C57" w:rsidRPr="001C7DD9">
              <w:rPr>
                <w:rFonts w:ascii="Calibri Light" w:hAnsi="Calibri Light" w:cs="Calibri Light"/>
                <w:noProof/>
                <w:webHidden/>
              </w:rPr>
              <w:fldChar w:fldCharType="end"/>
            </w:r>
          </w:hyperlink>
        </w:p>
        <w:p w14:paraId="0573E335" w14:textId="072810B2" w:rsidR="00533C57" w:rsidRPr="001C7DD9" w:rsidRDefault="00674810" w:rsidP="00FC7D95">
          <w:pPr>
            <w:pStyle w:val="TOC2"/>
            <w:ind w:left="1134" w:hanging="573"/>
            <w:rPr>
              <w:rFonts w:eastAsiaTheme="minorEastAsia"/>
              <w:noProof/>
              <w:sz w:val="22"/>
            </w:rPr>
          </w:pPr>
          <w:hyperlink w:anchor="_Toc504406833" w:history="1">
            <w:r w:rsidR="00533C57" w:rsidRPr="001C7DD9">
              <w:rPr>
                <w:rStyle w:val="Hyperlink"/>
                <w:rFonts w:ascii="Calibri Light" w:hAnsi="Calibri Light" w:cs="Calibri Light"/>
                <w:noProof/>
                <w:lang w:val="es-ES_tradnl"/>
              </w:rPr>
              <w:t>2.1.</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Mercados financieros: financiamiento para promover y profundizar la participación del mercado de capitales y las instituciones financieras</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_Toc504406833 \h </w:instrText>
            </w:r>
            <w:r w:rsidR="00533C57" w:rsidRPr="001C7DD9">
              <w:rPr>
                <w:noProof/>
                <w:webHidden/>
              </w:rPr>
            </w:r>
            <w:r w:rsidR="00533C57" w:rsidRPr="001C7DD9">
              <w:rPr>
                <w:noProof/>
                <w:webHidden/>
              </w:rPr>
              <w:fldChar w:fldCharType="separate"/>
            </w:r>
            <w:r w:rsidR="00533C57" w:rsidRPr="001C7DD9">
              <w:rPr>
                <w:noProof/>
                <w:webHidden/>
              </w:rPr>
              <w:t>8</w:t>
            </w:r>
            <w:r w:rsidR="00533C57" w:rsidRPr="001C7DD9">
              <w:rPr>
                <w:noProof/>
                <w:webHidden/>
              </w:rPr>
              <w:fldChar w:fldCharType="end"/>
            </w:r>
          </w:hyperlink>
        </w:p>
        <w:p w14:paraId="49E0228C" w14:textId="56CF3DFE" w:rsidR="00533C57" w:rsidRPr="001C7DD9" w:rsidRDefault="00674810" w:rsidP="00FC7D95">
          <w:pPr>
            <w:pStyle w:val="TOC2"/>
            <w:rPr>
              <w:rFonts w:eastAsiaTheme="minorEastAsia"/>
              <w:noProof/>
              <w:sz w:val="22"/>
            </w:rPr>
          </w:pPr>
          <w:hyperlink w:anchor="_Toc504406834" w:history="1">
            <w:r w:rsidR="00533C57" w:rsidRPr="001C7DD9">
              <w:rPr>
                <w:rStyle w:val="Hyperlink"/>
                <w:rFonts w:ascii="Calibri Light" w:hAnsi="Calibri Light" w:cs="Calibri Light"/>
                <w:noProof/>
                <w:lang w:val="es-ES_tradnl"/>
              </w:rPr>
              <w:t>2.2.</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Usuarios finales: financiamiento para promover el acceso a la vivienda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_Toc504406834 \h </w:instrText>
            </w:r>
            <w:r w:rsidR="00533C57" w:rsidRPr="001C7DD9">
              <w:rPr>
                <w:noProof/>
                <w:webHidden/>
              </w:rPr>
            </w:r>
            <w:r w:rsidR="00533C57" w:rsidRPr="001C7DD9">
              <w:rPr>
                <w:noProof/>
                <w:webHidden/>
              </w:rPr>
              <w:fldChar w:fldCharType="separate"/>
            </w:r>
            <w:r w:rsidR="00533C57" w:rsidRPr="001C7DD9">
              <w:rPr>
                <w:noProof/>
                <w:webHidden/>
              </w:rPr>
              <w:t>10</w:t>
            </w:r>
            <w:r w:rsidR="00533C57" w:rsidRPr="001C7DD9">
              <w:rPr>
                <w:noProof/>
                <w:webHidden/>
              </w:rPr>
              <w:fldChar w:fldCharType="end"/>
            </w:r>
          </w:hyperlink>
        </w:p>
        <w:p w14:paraId="369A3AD6" w14:textId="312BDA69" w:rsidR="00533C57" w:rsidRPr="001C7DD9" w:rsidRDefault="00674810" w:rsidP="00FC7D95">
          <w:pPr>
            <w:pStyle w:val="TOC2"/>
            <w:ind w:left="1134" w:hanging="573"/>
            <w:rPr>
              <w:rFonts w:eastAsiaTheme="minorEastAsia"/>
              <w:noProof/>
              <w:sz w:val="22"/>
            </w:rPr>
          </w:pPr>
          <w:hyperlink w:anchor="_Toc504406835" w:history="1">
            <w:r w:rsidR="00533C57" w:rsidRPr="001C7DD9">
              <w:rPr>
                <w:rStyle w:val="Hyperlink"/>
                <w:rFonts w:ascii="Calibri Light" w:hAnsi="Calibri Light" w:cs="Calibri Light"/>
                <w:noProof/>
                <w:lang w:val="es-ES_tradnl"/>
              </w:rPr>
              <w:t>2.3.</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Desarrolladores inmobiliarios: financiamiento para promover la oferta de vivienda nueva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_Toc504406835 \h </w:instrText>
            </w:r>
            <w:r w:rsidR="00533C57" w:rsidRPr="001C7DD9">
              <w:rPr>
                <w:noProof/>
                <w:webHidden/>
              </w:rPr>
            </w:r>
            <w:r w:rsidR="00533C57" w:rsidRPr="001C7DD9">
              <w:rPr>
                <w:noProof/>
                <w:webHidden/>
              </w:rPr>
              <w:fldChar w:fldCharType="separate"/>
            </w:r>
            <w:r w:rsidR="00533C57" w:rsidRPr="001C7DD9">
              <w:rPr>
                <w:noProof/>
                <w:webHidden/>
              </w:rPr>
              <w:t>13</w:t>
            </w:r>
            <w:r w:rsidR="00533C57" w:rsidRPr="001C7DD9">
              <w:rPr>
                <w:noProof/>
                <w:webHidden/>
              </w:rPr>
              <w:fldChar w:fldCharType="end"/>
            </w:r>
          </w:hyperlink>
        </w:p>
        <w:p w14:paraId="55D005BF" w14:textId="3F5ABA5D" w:rsidR="00533C57" w:rsidRPr="001C7DD9" w:rsidRDefault="00674810" w:rsidP="00FC7D95">
          <w:pPr>
            <w:pStyle w:val="TOC2"/>
            <w:rPr>
              <w:rFonts w:eastAsiaTheme="minorEastAsia"/>
              <w:noProof/>
              <w:sz w:val="22"/>
            </w:rPr>
          </w:pPr>
          <w:hyperlink w:anchor="_Toc504406836" w:history="1">
            <w:r w:rsidR="00533C57" w:rsidRPr="001C7DD9">
              <w:rPr>
                <w:rStyle w:val="Hyperlink"/>
                <w:rFonts w:ascii="Calibri Light" w:hAnsi="Calibri Light" w:cs="Calibri Light"/>
                <w:noProof/>
                <w:lang w:val="es-ES_tradnl"/>
              </w:rPr>
              <w:t>2.4.</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Cambio climático: financiamiento para promover vivienda verde</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_Toc504406836 \h </w:instrText>
            </w:r>
            <w:r w:rsidR="00533C57" w:rsidRPr="001C7DD9">
              <w:rPr>
                <w:noProof/>
                <w:webHidden/>
              </w:rPr>
            </w:r>
            <w:r w:rsidR="00533C57" w:rsidRPr="001C7DD9">
              <w:rPr>
                <w:noProof/>
                <w:webHidden/>
              </w:rPr>
              <w:fldChar w:fldCharType="separate"/>
            </w:r>
            <w:r w:rsidR="00533C57" w:rsidRPr="001C7DD9">
              <w:rPr>
                <w:noProof/>
                <w:webHidden/>
              </w:rPr>
              <w:t>15</w:t>
            </w:r>
            <w:r w:rsidR="00533C57" w:rsidRPr="001C7DD9">
              <w:rPr>
                <w:noProof/>
                <w:webHidden/>
              </w:rPr>
              <w:fldChar w:fldCharType="end"/>
            </w:r>
          </w:hyperlink>
        </w:p>
        <w:p w14:paraId="287960B5" w14:textId="76236433" w:rsidR="00533C57" w:rsidRPr="001C7DD9" w:rsidRDefault="00674810">
          <w:pPr>
            <w:pStyle w:val="TOC1"/>
            <w:rPr>
              <w:rFonts w:ascii="Calibri Light" w:eastAsiaTheme="minorEastAsia" w:hAnsi="Calibri Light" w:cs="Calibri Light"/>
              <w:smallCaps w:val="0"/>
              <w:noProof/>
              <w:sz w:val="22"/>
            </w:rPr>
          </w:pPr>
          <w:hyperlink w:anchor="_Toc504406837" w:history="1">
            <w:r w:rsidR="00533C57" w:rsidRPr="001C7DD9">
              <w:rPr>
                <w:rStyle w:val="Hyperlink"/>
                <w:rFonts w:ascii="Calibri Light" w:hAnsi="Calibri Light" w:cs="Calibri Light"/>
                <w:noProof/>
              </w:rPr>
              <w:t>3.</w:t>
            </w:r>
            <w:r w:rsidR="00533C57" w:rsidRPr="001C7DD9">
              <w:rPr>
                <w:rFonts w:ascii="Calibri Light" w:eastAsiaTheme="minorEastAsia" w:hAnsi="Calibri Light" w:cs="Calibri Light"/>
                <w:smallCaps w:val="0"/>
                <w:noProof/>
                <w:sz w:val="22"/>
              </w:rPr>
              <w:tab/>
            </w:r>
            <w:r w:rsidR="00533C57" w:rsidRPr="001C7DD9">
              <w:rPr>
                <w:rStyle w:val="Hyperlink"/>
                <w:rFonts w:ascii="Calibri Light" w:hAnsi="Calibri Light" w:cs="Calibri Light"/>
                <w:noProof/>
              </w:rPr>
              <w:t>PROGRAMAS DE FINANCIAMIENTO DEL BID PARA LA BANCA PÚBLICA DE DESARROLLO</w:t>
            </w:r>
            <w:r w:rsidR="00533C57" w:rsidRPr="001C7DD9">
              <w:rPr>
                <w:rFonts w:ascii="Calibri Light" w:hAnsi="Calibri Light" w:cs="Calibri Light"/>
                <w:noProof/>
                <w:webHidden/>
              </w:rPr>
              <w:tab/>
            </w:r>
            <w:r w:rsidR="00533C57" w:rsidRPr="001C7DD9">
              <w:rPr>
                <w:rFonts w:ascii="Calibri Light" w:hAnsi="Calibri Light" w:cs="Calibri Light"/>
                <w:noProof/>
                <w:webHidden/>
              </w:rPr>
              <w:fldChar w:fldCharType="begin"/>
            </w:r>
            <w:r w:rsidR="00533C57" w:rsidRPr="001C7DD9">
              <w:rPr>
                <w:rFonts w:ascii="Calibri Light" w:hAnsi="Calibri Light" w:cs="Calibri Light"/>
                <w:noProof/>
                <w:webHidden/>
              </w:rPr>
              <w:instrText xml:space="preserve"> PAGEREF _Toc504406837 \h </w:instrText>
            </w:r>
            <w:r w:rsidR="00533C57" w:rsidRPr="001C7DD9">
              <w:rPr>
                <w:rFonts w:ascii="Calibri Light" w:hAnsi="Calibri Light" w:cs="Calibri Light"/>
                <w:noProof/>
                <w:webHidden/>
              </w:rPr>
            </w:r>
            <w:r w:rsidR="00533C57" w:rsidRPr="001C7DD9">
              <w:rPr>
                <w:rFonts w:ascii="Calibri Light" w:hAnsi="Calibri Light" w:cs="Calibri Light"/>
                <w:noProof/>
                <w:webHidden/>
              </w:rPr>
              <w:fldChar w:fldCharType="separate"/>
            </w:r>
            <w:r w:rsidR="00533C57" w:rsidRPr="001C7DD9">
              <w:rPr>
                <w:rFonts w:ascii="Calibri Light" w:hAnsi="Calibri Light" w:cs="Calibri Light"/>
                <w:noProof/>
                <w:webHidden/>
              </w:rPr>
              <w:t>18</w:t>
            </w:r>
            <w:r w:rsidR="00533C57" w:rsidRPr="001C7DD9">
              <w:rPr>
                <w:rFonts w:ascii="Calibri Light" w:hAnsi="Calibri Light" w:cs="Calibri Light"/>
                <w:noProof/>
                <w:webHidden/>
              </w:rPr>
              <w:fldChar w:fldCharType="end"/>
            </w:r>
          </w:hyperlink>
        </w:p>
        <w:p w14:paraId="537FBDF2" w14:textId="0DF971F0" w:rsidR="00533C57" w:rsidRPr="001C7DD9" w:rsidRDefault="00674810" w:rsidP="00FC7D95">
          <w:pPr>
            <w:pStyle w:val="TOC2"/>
            <w:ind w:left="1134" w:hanging="573"/>
            <w:rPr>
              <w:rFonts w:eastAsiaTheme="minorEastAsia"/>
              <w:noProof/>
              <w:sz w:val="22"/>
            </w:rPr>
          </w:pPr>
          <w:hyperlink w:anchor="_Toc504406838" w:history="1">
            <w:r w:rsidR="00533C57" w:rsidRPr="001C7DD9">
              <w:rPr>
                <w:rStyle w:val="Hyperlink"/>
                <w:rFonts w:ascii="Calibri Light" w:hAnsi="Calibri Light" w:cs="Calibri Light"/>
                <w:noProof/>
                <w:lang w:val="es-ES_tradnl"/>
              </w:rPr>
              <w:t>3.1.</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Promover y profundizar la participación del mercado de capitales y las instituciones financieras</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_Toc504406838 \h </w:instrText>
            </w:r>
            <w:r w:rsidR="00533C57" w:rsidRPr="001C7DD9">
              <w:rPr>
                <w:noProof/>
                <w:webHidden/>
              </w:rPr>
            </w:r>
            <w:r w:rsidR="00533C57" w:rsidRPr="001C7DD9">
              <w:rPr>
                <w:noProof/>
                <w:webHidden/>
              </w:rPr>
              <w:fldChar w:fldCharType="separate"/>
            </w:r>
            <w:r w:rsidR="00533C57" w:rsidRPr="001C7DD9">
              <w:rPr>
                <w:noProof/>
                <w:webHidden/>
              </w:rPr>
              <w:t>19</w:t>
            </w:r>
            <w:r w:rsidR="00533C57" w:rsidRPr="001C7DD9">
              <w:rPr>
                <w:noProof/>
                <w:webHidden/>
              </w:rPr>
              <w:fldChar w:fldCharType="end"/>
            </w:r>
          </w:hyperlink>
        </w:p>
        <w:p w14:paraId="66A6BD9C" w14:textId="6365255B" w:rsidR="00533C57" w:rsidRPr="001C7DD9" w:rsidRDefault="00674810" w:rsidP="00FC7D95">
          <w:pPr>
            <w:pStyle w:val="TOC2"/>
            <w:rPr>
              <w:rFonts w:eastAsiaTheme="minorEastAsia"/>
              <w:noProof/>
              <w:sz w:val="22"/>
            </w:rPr>
          </w:pPr>
          <w:hyperlink w:anchor="_Toc504406839" w:history="1">
            <w:r w:rsidR="00533C57" w:rsidRPr="001C7DD9">
              <w:rPr>
                <w:rStyle w:val="Hyperlink"/>
                <w:rFonts w:ascii="Calibri Light" w:hAnsi="Calibri Light" w:cs="Calibri Light"/>
                <w:noProof/>
                <w:lang w:val="es-ES_tradnl"/>
              </w:rPr>
              <w:t>3.2.</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Promover el acceso a la vivienda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_Toc504406839 \h </w:instrText>
            </w:r>
            <w:r w:rsidR="00533C57" w:rsidRPr="001C7DD9">
              <w:rPr>
                <w:noProof/>
                <w:webHidden/>
              </w:rPr>
            </w:r>
            <w:r w:rsidR="00533C57" w:rsidRPr="001C7DD9">
              <w:rPr>
                <w:noProof/>
                <w:webHidden/>
              </w:rPr>
              <w:fldChar w:fldCharType="separate"/>
            </w:r>
            <w:r w:rsidR="00533C57" w:rsidRPr="001C7DD9">
              <w:rPr>
                <w:noProof/>
                <w:webHidden/>
              </w:rPr>
              <w:t>19</w:t>
            </w:r>
            <w:r w:rsidR="00533C57" w:rsidRPr="001C7DD9">
              <w:rPr>
                <w:noProof/>
                <w:webHidden/>
              </w:rPr>
              <w:fldChar w:fldCharType="end"/>
            </w:r>
          </w:hyperlink>
        </w:p>
        <w:p w14:paraId="25C4FB91" w14:textId="5A10A807" w:rsidR="00533C57" w:rsidRPr="001C7DD9" w:rsidRDefault="00674810" w:rsidP="00FC7D95">
          <w:pPr>
            <w:pStyle w:val="TOC2"/>
            <w:rPr>
              <w:rFonts w:eastAsiaTheme="minorEastAsia"/>
              <w:noProof/>
              <w:sz w:val="22"/>
            </w:rPr>
          </w:pPr>
          <w:hyperlink w:anchor="_Toc504406840" w:history="1">
            <w:r w:rsidR="00533C57" w:rsidRPr="001C7DD9">
              <w:rPr>
                <w:rStyle w:val="Hyperlink"/>
                <w:rFonts w:ascii="Calibri Light" w:hAnsi="Calibri Light" w:cs="Calibri Light"/>
                <w:noProof/>
                <w:lang w:val="es-ES_tradnl"/>
              </w:rPr>
              <w:t>3.3.</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Promover la oferta de vivienda nueva</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_Toc504406840 \h </w:instrText>
            </w:r>
            <w:r w:rsidR="00533C57" w:rsidRPr="001C7DD9">
              <w:rPr>
                <w:noProof/>
                <w:webHidden/>
              </w:rPr>
            </w:r>
            <w:r w:rsidR="00533C57" w:rsidRPr="001C7DD9">
              <w:rPr>
                <w:noProof/>
                <w:webHidden/>
              </w:rPr>
              <w:fldChar w:fldCharType="separate"/>
            </w:r>
            <w:r w:rsidR="00533C57" w:rsidRPr="001C7DD9">
              <w:rPr>
                <w:noProof/>
                <w:webHidden/>
              </w:rPr>
              <w:t>19</w:t>
            </w:r>
            <w:r w:rsidR="00533C57" w:rsidRPr="001C7DD9">
              <w:rPr>
                <w:noProof/>
                <w:webHidden/>
              </w:rPr>
              <w:fldChar w:fldCharType="end"/>
            </w:r>
          </w:hyperlink>
        </w:p>
        <w:p w14:paraId="10F3A0C0" w14:textId="0FB4632E" w:rsidR="00533C57" w:rsidRPr="001C7DD9" w:rsidRDefault="00674810" w:rsidP="00FC7D95">
          <w:pPr>
            <w:pStyle w:val="TOC2"/>
            <w:rPr>
              <w:rFonts w:eastAsiaTheme="minorEastAsia"/>
              <w:noProof/>
              <w:sz w:val="22"/>
            </w:rPr>
          </w:pPr>
          <w:hyperlink w:anchor="_Toc504406841" w:history="1">
            <w:r w:rsidR="00533C57" w:rsidRPr="001C7DD9">
              <w:rPr>
                <w:rStyle w:val="Hyperlink"/>
                <w:rFonts w:ascii="Calibri Light" w:hAnsi="Calibri Light" w:cs="Calibri Light"/>
                <w:noProof/>
                <w:lang w:val="es-ES_tradnl"/>
              </w:rPr>
              <w:t>3.4.</w:t>
            </w:r>
            <w:r w:rsidR="00533C57" w:rsidRPr="001C7DD9">
              <w:rPr>
                <w:rFonts w:eastAsiaTheme="minorEastAsia"/>
                <w:noProof/>
                <w:sz w:val="22"/>
              </w:rPr>
              <w:tab/>
            </w:r>
            <w:r w:rsidR="00533C57" w:rsidRPr="001C7DD9">
              <w:rPr>
                <w:rStyle w:val="Hyperlink"/>
                <w:rFonts w:ascii="Calibri Light" w:hAnsi="Calibri Light" w:cs="Calibri Light"/>
                <w:noProof/>
                <w:lang w:val="es-ES_tradnl"/>
              </w:rPr>
              <w:t>Promover la vivienda verde para la mitigación y adaptación al cambio climático</w:t>
            </w:r>
            <w:r w:rsidR="00533C57" w:rsidRPr="001C7DD9">
              <w:rPr>
                <w:noProof/>
                <w:webHidden/>
              </w:rPr>
              <w:tab/>
            </w:r>
            <w:r w:rsidR="00533C57" w:rsidRPr="001C7DD9">
              <w:rPr>
                <w:noProof/>
                <w:webHidden/>
              </w:rPr>
              <w:fldChar w:fldCharType="begin"/>
            </w:r>
            <w:r w:rsidR="00533C57" w:rsidRPr="001C7DD9">
              <w:rPr>
                <w:noProof/>
                <w:webHidden/>
              </w:rPr>
              <w:instrText xml:space="preserve"> PAGEREF _Toc504406841 \h </w:instrText>
            </w:r>
            <w:r w:rsidR="00533C57" w:rsidRPr="001C7DD9">
              <w:rPr>
                <w:noProof/>
                <w:webHidden/>
              </w:rPr>
            </w:r>
            <w:r w:rsidR="00533C57" w:rsidRPr="001C7DD9">
              <w:rPr>
                <w:noProof/>
                <w:webHidden/>
              </w:rPr>
              <w:fldChar w:fldCharType="separate"/>
            </w:r>
            <w:r w:rsidR="00533C57" w:rsidRPr="001C7DD9">
              <w:rPr>
                <w:noProof/>
                <w:webHidden/>
              </w:rPr>
              <w:t>20</w:t>
            </w:r>
            <w:r w:rsidR="00533C57" w:rsidRPr="001C7DD9">
              <w:rPr>
                <w:noProof/>
                <w:webHidden/>
              </w:rPr>
              <w:fldChar w:fldCharType="end"/>
            </w:r>
          </w:hyperlink>
        </w:p>
        <w:p w14:paraId="6D6AACA1" w14:textId="7A43345C" w:rsidR="00533C57" w:rsidRPr="001C7DD9" w:rsidRDefault="00674810">
          <w:pPr>
            <w:pStyle w:val="TOC1"/>
            <w:rPr>
              <w:rFonts w:ascii="Calibri Light" w:eastAsiaTheme="minorEastAsia" w:hAnsi="Calibri Light" w:cs="Calibri Light"/>
              <w:smallCaps w:val="0"/>
              <w:noProof/>
              <w:sz w:val="22"/>
            </w:rPr>
          </w:pPr>
          <w:hyperlink w:anchor="_Toc504406842" w:history="1">
            <w:r w:rsidR="00533C57" w:rsidRPr="001C7DD9">
              <w:rPr>
                <w:rStyle w:val="Hyperlink"/>
                <w:rFonts w:ascii="Calibri Light" w:hAnsi="Calibri Light" w:cs="Calibri Light"/>
                <w:noProof/>
              </w:rPr>
              <w:t>CONCLUSIÓN</w:t>
            </w:r>
            <w:r w:rsidR="00533C57" w:rsidRPr="001C7DD9">
              <w:rPr>
                <w:rFonts w:ascii="Calibri Light" w:hAnsi="Calibri Light" w:cs="Calibri Light"/>
                <w:noProof/>
                <w:webHidden/>
              </w:rPr>
              <w:tab/>
            </w:r>
            <w:r w:rsidR="00533C57" w:rsidRPr="001C7DD9">
              <w:rPr>
                <w:rFonts w:ascii="Calibri Light" w:hAnsi="Calibri Light" w:cs="Calibri Light"/>
                <w:noProof/>
                <w:webHidden/>
              </w:rPr>
              <w:fldChar w:fldCharType="begin"/>
            </w:r>
            <w:r w:rsidR="00533C57" w:rsidRPr="001C7DD9">
              <w:rPr>
                <w:rFonts w:ascii="Calibri Light" w:hAnsi="Calibri Light" w:cs="Calibri Light"/>
                <w:noProof/>
                <w:webHidden/>
              </w:rPr>
              <w:instrText xml:space="preserve"> PAGEREF _Toc504406842 \h </w:instrText>
            </w:r>
            <w:r w:rsidR="00533C57" w:rsidRPr="001C7DD9">
              <w:rPr>
                <w:rFonts w:ascii="Calibri Light" w:hAnsi="Calibri Light" w:cs="Calibri Light"/>
                <w:noProof/>
                <w:webHidden/>
              </w:rPr>
            </w:r>
            <w:r w:rsidR="00533C57" w:rsidRPr="001C7DD9">
              <w:rPr>
                <w:rFonts w:ascii="Calibri Light" w:hAnsi="Calibri Light" w:cs="Calibri Light"/>
                <w:noProof/>
                <w:webHidden/>
              </w:rPr>
              <w:fldChar w:fldCharType="separate"/>
            </w:r>
            <w:r w:rsidR="00533C57" w:rsidRPr="001C7DD9">
              <w:rPr>
                <w:rFonts w:ascii="Calibri Light" w:hAnsi="Calibri Light" w:cs="Calibri Light"/>
                <w:noProof/>
                <w:webHidden/>
              </w:rPr>
              <w:t>21</w:t>
            </w:r>
            <w:r w:rsidR="00533C57" w:rsidRPr="001C7DD9">
              <w:rPr>
                <w:rFonts w:ascii="Calibri Light" w:hAnsi="Calibri Light" w:cs="Calibri Light"/>
                <w:noProof/>
                <w:webHidden/>
              </w:rPr>
              <w:fldChar w:fldCharType="end"/>
            </w:r>
          </w:hyperlink>
        </w:p>
        <w:p w14:paraId="306D963F" w14:textId="0CA20803" w:rsidR="00533C57" w:rsidRPr="001C7DD9" w:rsidRDefault="00674810">
          <w:pPr>
            <w:pStyle w:val="TOC1"/>
            <w:rPr>
              <w:rFonts w:ascii="Calibri Light" w:eastAsiaTheme="minorEastAsia" w:hAnsi="Calibri Light" w:cs="Calibri Light"/>
              <w:smallCaps w:val="0"/>
              <w:noProof/>
              <w:sz w:val="22"/>
            </w:rPr>
          </w:pPr>
          <w:hyperlink w:anchor="_Toc504406843" w:history="1">
            <w:r w:rsidR="00533C57" w:rsidRPr="001C7DD9">
              <w:rPr>
                <w:rStyle w:val="Hyperlink"/>
                <w:rFonts w:ascii="Calibri Light" w:hAnsi="Calibri Light" w:cs="Calibri Light"/>
                <w:noProof/>
              </w:rPr>
              <w:t>REFERENCIAS</w:t>
            </w:r>
            <w:r w:rsidR="00533C57" w:rsidRPr="001C7DD9">
              <w:rPr>
                <w:rFonts w:ascii="Calibri Light" w:hAnsi="Calibri Light" w:cs="Calibri Light"/>
                <w:noProof/>
                <w:webHidden/>
              </w:rPr>
              <w:tab/>
            </w:r>
            <w:r w:rsidR="00533C57" w:rsidRPr="001C7DD9">
              <w:rPr>
                <w:rFonts w:ascii="Calibri Light" w:hAnsi="Calibri Light" w:cs="Calibri Light"/>
                <w:noProof/>
                <w:webHidden/>
              </w:rPr>
              <w:fldChar w:fldCharType="begin"/>
            </w:r>
            <w:r w:rsidR="00533C57" w:rsidRPr="001C7DD9">
              <w:rPr>
                <w:rFonts w:ascii="Calibri Light" w:hAnsi="Calibri Light" w:cs="Calibri Light"/>
                <w:noProof/>
                <w:webHidden/>
              </w:rPr>
              <w:instrText xml:space="preserve"> PAGEREF _Toc504406843 \h </w:instrText>
            </w:r>
            <w:r w:rsidR="00533C57" w:rsidRPr="001C7DD9">
              <w:rPr>
                <w:rFonts w:ascii="Calibri Light" w:hAnsi="Calibri Light" w:cs="Calibri Light"/>
                <w:noProof/>
                <w:webHidden/>
              </w:rPr>
            </w:r>
            <w:r w:rsidR="00533C57" w:rsidRPr="001C7DD9">
              <w:rPr>
                <w:rFonts w:ascii="Calibri Light" w:hAnsi="Calibri Light" w:cs="Calibri Light"/>
                <w:noProof/>
                <w:webHidden/>
              </w:rPr>
              <w:fldChar w:fldCharType="separate"/>
            </w:r>
            <w:r w:rsidR="00533C57" w:rsidRPr="001C7DD9">
              <w:rPr>
                <w:rFonts w:ascii="Calibri Light" w:hAnsi="Calibri Light" w:cs="Calibri Light"/>
                <w:noProof/>
                <w:webHidden/>
              </w:rPr>
              <w:t>22</w:t>
            </w:r>
            <w:r w:rsidR="00533C57" w:rsidRPr="001C7DD9">
              <w:rPr>
                <w:rFonts w:ascii="Calibri Light" w:hAnsi="Calibri Light" w:cs="Calibri Light"/>
                <w:noProof/>
                <w:webHidden/>
              </w:rPr>
              <w:fldChar w:fldCharType="end"/>
            </w:r>
          </w:hyperlink>
        </w:p>
        <w:p w14:paraId="236F7493" w14:textId="16964BBA" w:rsidR="00F415A9" w:rsidRPr="001C7DD9" w:rsidRDefault="00315DCC" w:rsidP="009863F2">
          <w:pPr>
            <w:pStyle w:val="TOC1"/>
            <w:spacing w:before="0" w:after="0"/>
            <w:ind w:left="0" w:firstLine="0"/>
            <w:rPr>
              <w:rFonts w:ascii="Calibri Light" w:hAnsi="Calibri Light" w:cs="Calibri Light"/>
              <w:noProof/>
              <w:szCs w:val="24"/>
              <w:lang w:val="es-ES"/>
            </w:rPr>
          </w:pPr>
          <w:r w:rsidRPr="001C7DD9">
            <w:rPr>
              <w:rFonts w:ascii="Calibri Light" w:hAnsi="Calibri Light" w:cs="Calibri Light"/>
              <w:b/>
              <w:noProof/>
              <w:szCs w:val="24"/>
              <w:lang w:val="es-ES"/>
            </w:rPr>
            <w:fldChar w:fldCharType="end"/>
          </w:r>
        </w:p>
      </w:sdtContent>
    </w:sdt>
    <w:p w14:paraId="05D7F416" w14:textId="77777777" w:rsidR="003B5D24" w:rsidRPr="009863F2" w:rsidRDefault="003B5D24" w:rsidP="009863F2">
      <w:pPr>
        <w:pStyle w:val="TOC1"/>
        <w:spacing w:before="0" w:after="0"/>
        <w:rPr>
          <w:rFonts w:ascii="Calibri Light" w:hAnsi="Calibri Light" w:cs="Arial"/>
          <w:noProof/>
          <w:szCs w:val="24"/>
          <w:lang w:val="es-ES"/>
        </w:rPr>
      </w:pPr>
      <w:r w:rsidRPr="009863F2">
        <w:rPr>
          <w:rFonts w:ascii="Calibri Light" w:hAnsi="Calibri Light" w:cs="Arial"/>
          <w:szCs w:val="24"/>
          <w:lang w:val="es-ES"/>
        </w:rPr>
        <w:br w:type="page"/>
      </w:r>
    </w:p>
    <w:p w14:paraId="48BBAAD0" w14:textId="77777777" w:rsidR="00B51164" w:rsidRPr="009863F2" w:rsidRDefault="00B51164" w:rsidP="009863F2">
      <w:pPr>
        <w:pStyle w:val="Heading1"/>
        <w:numPr>
          <w:ilvl w:val="0"/>
          <w:numId w:val="1"/>
        </w:numPr>
        <w:spacing w:after="0" w:line="240" w:lineRule="auto"/>
        <w:contextualSpacing w:val="0"/>
        <w:rPr>
          <w:rFonts w:ascii="Calibri Light" w:hAnsi="Calibri Light" w:cs="Arial"/>
          <w:sz w:val="24"/>
          <w:szCs w:val="24"/>
        </w:rPr>
      </w:pPr>
      <w:bookmarkStart w:id="1" w:name="_Toc504406827"/>
      <w:r w:rsidRPr="009863F2">
        <w:rPr>
          <w:rFonts w:ascii="Calibri Light" w:hAnsi="Calibri Light" w:cs="Arial"/>
          <w:sz w:val="24"/>
          <w:szCs w:val="24"/>
        </w:rPr>
        <w:lastRenderedPageBreak/>
        <w:t>ANTECEDENTES Y ALCANCE</w:t>
      </w:r>
      <w:bookmarkEnd w:id="1"/>
    </w:p>
    <w:p w14:paraId="4AE2D06B" w14:textId="77777777" w:rsidR="009863F2" w:rsidRDefault="009863F2" w:rsidP="009863F2">
      <w:pPr>
        <w:pStyle w:val="Heading2"/>
        <w:spacing w:before="0" w:line="240" w:lineRule="auto"/>
        <w:ind w:left="792"/>
        <w:rPr>
          <w:rFonts w:ascii="Calibri Light" w:hAnsi="Calibri Light" w:cs="Arial"/>
          <w:szCs w:val="24"/>
          <w:lang w:val="es-ES_tradnl"/>
        </w:rPr>
      </w:pPr>
    </w:p>
    <w:p w14:paraId="6294B797" w14:textId="5FD0087F" w:rsidR="005539DF" w:rsidRPr="009863F2" w:rsidRDefault="000F4C26" w:rsidP="009863F2">
      <w:pPr>
        <w:pStyle w:val="Heading2"/>
        <w:numPr>
          <w:ilvl w:val="1"/>
          <w:numId w:val="1"/>
        </w:numPr>
        <w:spacing w:before="0" w:line="240" w:lineRule="auto"/>
        <w:rPr>
          <w:rFonts w:ascii="Calibri Light" w:hAnsi="Calibri Light" w:cs="Arial"/>
          <w:szCs w:val="24"/>
          <w:lang w:val="es-ES_tradnl"/>
        </w:rPr>
      </w:pPr>
      <w:bookmarkStart w:id="2" w:name="_Toc504406828"/>
      <w:r w:rsidRPr="009863F2">
        <w:rPr>
          <w:rFonts w:ascii="Calibri Light" w:hAnsi="Calibri Light" w:cs="Arial"/>
          <w:szCs w:val="24"/>
          <w:lang w:val="es-ES_tradnl"/>
        </w:rPr>
        <w:t>D</w:t>
      </w:r>
      <w:r w:rsidR="005539DF" w:rsidRPr="009863F2">
        <w:rPr>
          <w:rFonts w:ascii="Calibri Light" w:hAnsi="Calibri Light" w:cs="Arial"/>
          <w:szCs w:val="24"/>
          <w:lang w:val="es-ES_tradnl"/>
        </w:rPr>
        <w:t>efinición del problema</w:t>
      </w:r>
      <w:bookmarkEnd w:id="2"/>
    </w:p>
    <w:p w14:paraId="7E540760" w14:textId="77777777" w:rsidR="005539DF" w:rsidRPr="009863F2" w:rsidRDefault="005539DF" w:rsidP="009863F2">
      <w:pPr>
        <w:spacing w:after="0" w:line="240" w:lineRule="auto"/>
        <w:jc w:val="both"/>
        <w:rPr>
          <w:rFonts w:ascii="Calibri Light" w:hAnsi="Calibri Light" w:cs="Arial"/>
          <w:sz w:val="24"/>
          <w:szCs w:val="24"/>
          <w:lang w:val="es-ES_tradnl"/>
        </w:rPr>
      </w:pPr>
    </w:p>
    <w:p w14:paraId="78ABE0D0" w14:textId="4ED0ABAC" w:rsidR="00071C6B" w:rsidRPr="009863F2" w:rsidRDefault="00CF5EBB"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E</w:t>
      </w:r>
      <w:r w:rsidR="00071C6B" w:rsidRPr="009863F2">
        <w:rPr>
          <w:rFonts w:ascii="Calibri Light" w:hAnsi="Calibri Light" w:cs="Arial"/>
          <w:sz w:val="24"/>
          <w:szCs w:val="24"/>
          <w:lang w:val="es-ES_tradnl"/>
        </w:rPr>
        <w:t xml:space="preserve">l financiamiento </w:t>
      </w:r>
      <w:r w:rsidR="00BB15C8" w:rsidRPr="009863F2">
        <w:rPr>
          <w:rFonts w:ascii="Calibri Light" w:hAnsi="Calibri Light" w:cs="Arial"/>
          <w:sz w:val="24"/>
          <w:szCs w:val="24"/>
          <w:lang w:val="es-ES_tradnl"/>
        </w:rPr>
        <w:t xml:space="preserve">de la vivienda </w:t>
      </w:r>
      <w:r w:rsidRPr="009863F2">
        <w:rPr>
          <w:rFonts w:ascii="Calibri Light" w:hAnsi="Calibri Light" w:cs="Arial"/>
          <w:sz w:val="24"/>
          <w:szCs w:val="24"/>
          <w:lang w:val="es-ES_tradnl"/>
        </w:rPr>
        <w:t xml:space="preserve">se inserta </w:t>
      </w:r>
      <w:r w:rsidR="00071C6B" w:rsidRPr="009863F2">
        <w:rPr>
          <w:rFonts w:ascii="Calibri Light" w:hAnsi="Calibri Light" w:cs="Arial"/>
          <w:sz w:val="24"/>
          <w:szCs w:val="24"/>
          <w:lang w:val="es-ES_tradnl"/>
        </w:rPr>
        <w:t xml:space="preserve">dentro </w:t>
      </w:r>
      <w:r w:rsidR="008E46E7" w:rsidRPr="009863F2">
        <w:rPr>
          <w:rFonts w:ascii="Calibri Light" w:hAnsi="Calibri Light" w:cs="Arial"/>
          <w:sz w:val="24"/>
          <w:szCs w:val="24"/>
          <w:lang w:val="es-ES_tradnl"/>
        </w:rPr>
        <w:t xml:space="preserve">de un </w:t>
      </w:r>
      <w:r w:rsidR="00071C6B" w:rsidRPr="009863F2">
        <w:rPr>
          <w:rFonts w:ascii="Calibri Light" w:hAnsi="Calibri Light" w:cs="Arial"/>
          <w:sz w:val="24"/>
          <w:szCs w:val="24"/>
          <w:lang w:val="es-ES_tradnl"/>
        </w:rPr>
        <w:t>complejo espectro de dimensiones que plantean, en el límite, un único problema:</w:t>
      </w:r>
      <w:r w:rsidR="00071C6B" w:rsidRPr="00AB6E92">
        <w:rPr>
          <w:rFonts w:ascii="Calibri Light" w:hAnsi="Calibri Light" w:cs="Arial"/>
          <w:sz w:val="24"/>
          <w:szCs w:val="24"/>
          <w:lang w:val="es-ES_tradnl"/>
        </w:rPr>
        <w:t xml:space="preserve"> la valorización de la vivienda por encima de la capacidad de pago de un sector importante de la población</w:t>
      </w:r>
      <w:r w:rsidR="008E46E7" w:rsidRPr="00AB6E92">
        <w:rPr>
          <w:rFonts w:ascii="Calibri Light" w:hAnsi="Calibri Light" w:cs="Arial"/>
          <w:sz w:val="24"/>
          <w:szCs w:val="24"/>
          <w:lang w:val="es-ES_tradnl"/>
        </w:rPr>
        <w:t>,</w:t>
      </w:r>
      <w:r w:rsidR="00071C6B" w:rsidRPr="00AB6E92">
        <w:rPr>
          <w:rFonts w:ascii="Calibri Light" w:hAnsi="Calibri Light" w:cs="Arial"/>
          <w:sz w:val="24"/>
          <w:szCs w:val="24"/>
          <w:lang w:val="es-ES_tradnl"/>
        </w:rPr>
        <w:t xml:space="preserve"> a partir de los intereses de los agentes privados intervinientes en el negocio inmobiliari</w:t>
      </w:r>
      <w:r w:rsidR="00071C6B" w:rsidRPr="009863F2">
        <w:rPr>
          <w:rFonts w:ascii="Calibri Light" w:hAnsi="Calibri Light" w:cs="Arial"/>
          <w:sz w:val="24"/>
          <w:szCs w:val="24"/>
          <w:lang w:val="es-ES_tradnl"/>
        </w:rPr>
        <w:t>o</w:t>
      </w:r>
      <w:r w:rsidR="008E46E7" w:rsidRPr="009863F2">
        <w:rPr>
          <w:rFonts w:ascii="Calibri Light" w:hAnsi="Calibri Light" w:cs="Arial"/>
          <w:sz w:val="24"/>
          <w:szCs w:val="24"/>
          <w:lang w:val="es-ES_tradnl"/>
        </w:rPr>
        <w:t xml:space="preserve"> (constructores, promotores, bancos, comerciantes, propietarios de </w:t>
      </w:r>
      <w:r w:rsidR="000F4C26" w:rsidRPr="009863F2">
        <w:rPr>
          <w:rFonts w:ascii="Calibri Light" w:hAnsi="Calibri Light" w:cs="Arial"/>
          <w:sz w:val="24"/>
          <w:szCs w:val="24"/>
          <w:lang w:val="es-ES_tradnl"/>
        </w:rPr>
        <w:t xml:space="preserve">la </w:t>
      </w:r>
      <w:r w:rsidR="008E46E7" w:rsidRPr="009863F2">
        <w:rPr>
          <w:rFonts w:ascii="Calibri Light" w:hAnsi="Calibri Light" w:cs="Arial"/>
          <w:sz w:val="24"/>
          <w:szCs w:val="24"/>
          <w:lang w:val="es-ES_tradnl"/>
        </w:rPr>
        <w:t>tierra, etc.)</w:t>
      </w:r>
      <w:r w:rsidR="00071C6B" w:rsidRPr="009863F2">
        <w:rPr>
          <w:rFonts w:ascii="Calibri Light" w:hAnsi="Calibri Light" w:cs="Arial"/>
          <w:sz w:val="24"/>
          <w:szCs w:val="24"/>
          <w:lang w:val="es-ES_tradnl"/>
        </w:rPr>
        <w:t xml:space="preserve">. </w:t>
      </w:r>
    </w:p>
    <w:p w14:paraId="74DC7DFA" w14:textId="77777777" w:rsidR="00071C6B" w:rsidRPr="009863F2" w:rsidRDefault="00071C6B" w:rsidP="009863F2">
      <w:pPr>
        <w:spacing w:after="0" w:line="240" w:lineRule="auto"/>
        <w:jc w:val="both"/>
        <w:rPr>
          <w:rFonts w:ascii="Calibri Light" w:hAnsi="Calibri Light" w:cs="Arial"/>
          <w:sz w:val="24"/>
          <w:szCs w:val="24"/>
          <w:lang w:val="es-ES_tradnl"/>
        </w:rPr>
      </w:pPr>
    </w:p>
    <w:p w14:paraId="49D9C7BF" w14:textId="1B2888BA" w:rsidR="00A95004" w:rsidRPr="009863F2" w:rsidRDefault="00A95004" w:rsidP="009863F2">
      <w:pPr>
        <w:pStyle w:val="ListParagraph"/>
        <w:spacing w:after="0" w:line="240" w:lineRule="auto"/>
        <w:ind w:left="0"/>
        <w:contextualSpacing w:val="0"/>
        <w:jc w:val="both"/>
        <w:rPr>
          <w:rFonts w:ascii="Calibri Light" w:hAnsi="Calibri Light" w:cs="Arial"/>
          <w:noProof/>
          <w:sz w:val="24"/>
          <w:szCs w:val="24"/>
          <w:lang w:val="es-ES"/>
        </w:rPr>
      </w:pPr>
      <w:r w:rsidRPr="009863F2">
        <w:rPr>
          <w:rFonts w:ascii="Calibri Light" w:hAnsi="Calibri Light" w:cs="Arial"/>
          <w:sz w:val="24"/>
          <w:szCs w:val="24"/>
          <w:lang w:val="es-ES"/>
        </w:rPr>
        <w:t>Este carácter multidimensional implica actores, relaciones y fallas que involucran tanto al ámbito público como al privado</w:t>
      </w:r>
      <w:r w:rsidR="00AF2176" w:rsidRPr="009863F2">
        <w:rPr>
          <w:rFonts w:ascii="Calibri Light" w:hAnsi="Calibri Light" w:cs="Arial"/>
          <w:sz w:val="24"/>
          <w:szCs w:val="24"/>
          <w:lang w:val="es-ES"/>
        </w:rPr>
        <w:t xml:space="preserve"> (Bebczuk y Demaestri, 2013)</w:t>
      </w:r>
      <w:r w:rsidRPr="009863F2">
        <w:rPr>
          <w:rFonts w:ascii="Calibri Light" w:hAnsi="Calibri Light" w:cs="Arial"/>
          <w:sz w:val="24"/>
          <w:szCs w:val="24"/>
          <w:lang w:val="es-ES"/>
        </w:rPr>
        <w:t>. E</w:t>
      </w:r>
      <w:r w:rsidR="000F4C26" w:rsidRPr="009863F2">
        <w:rPr>
          <w:rFonts w:ascii="Calibri Light" w:hAnsi="Calibri Light" w:cs="Arial"/>
          <w:sz w:val="24"/>
          <w:szCs w:val="24"/>
          <w:lang w:val="es-ES"/>
        </w:rPr>
        <w:t>n e</w:t>
      </w:r>
      <w:r w:rsidRPr="009863F2">
        <w:rPr>
          <w:rFonts w:ascii="Calibri Light" w:hAnsi="Calibri Light" w:cs="Arial"/>
          <w:sz w:val="24"/>
          <w:szCs w:val="24"/>
          <w:lang w:val="es-ES"/>
        </w:rPr>
        <w:t xml:space="preserve">l </w:t>
      </w:r>
      <w:r w:rsidR="000F4C26" w:rsidRPr="009863F2">
        <w:rPr>
          <w:rFonts w:ascii="Calibri Light" w:hAnsi="Calibri Light" w:cs="Arial"/>
          <w:sz w:val="24"/>
          <w:szCs w:val="24"/>
          <w:lang w:val="es-ES"/>
        </w:rPr>
        <w:t>g</w:t>
      </w:r>
      <w:r w:rsidR="00FA5207" w:rsidRPr="009863F2">
        <w:rPr>
          <w:rFonts w:ascii="Calibri Light" w:hAnsi="Calibri Light" w:cs="Arial"/>
          <w:sz w:val="24"/>
          <w:szCs w:val="24"/>
          <w:lang w:val="es-ES"/>
        </w:rPr>
        <w:t xml:space="preserve">ráfico </w:t>
      </w:r>
      <w:r w:rsidRPr="009863F2">
        <w:rPr>
          <w:rFonts w:ascii="Calibri Light" w:hAnsi="Calibri Light" w:cs="Arial"/>
          <w:sz w:val="24"/>
          <w:szCs w:val="24"/>
          <w:lang w:val="es-ES"/>
        </w:rPr>
        <w:t xml:space="preserve">1 </w:t>
      </w:r>
      <w:r w:rsidR="000F4C26" w:rsidRPr="009863F2">
        <w:rPr>
          <w:rFonts w:ascii="Calibri Light" w:hAnsi="Calibri Light" w:cs="Arial"/>
          <w:sz w:val="24"/>
          <w:szCs w:val="24"/>
          <w:lang w:val="es-ES"/>
        </w:rPr>
        <w:t xml:space="preserve">se proporciona </w:t>
      </w:r>
      <w:r w:rsidRPr="009863F2">
        <w:rPr>
          <w:rFonts w:ascii="Calibri Light" w:hAnsi="Calibri Light" w:cs="Arial"/>
          <w:sz w:val="24"/>
          <w:szCs w:val="24"/>
          <w:lang w:val="es-ES"/>
        </w:rPr>
        <w:t>una mirada simplificada del ecosistema de este mercado, cuyos principales actores, además</w:t>
      </w:r>
      <w:r w:rsidR="009832DA" w:rsidRPr="009863F2">
        <w:rPr>
          <w:rFonts w:ascii="Calibri Light" w:hAnsi="Calibri Light" w:cs="Arial"/>
          <w:sz w:val="24"/>
          <w:szCs w:val="24"/>
          <w:lang w:val="es-ES"/>
        </w:rPr>
        <w:t xml:space="preserve"> del Estado</w:t>
      </w:r>
      <w:r w:rsidRPr="009863F2">
        <w:rPr>
          <w:rFonts w:ascii="Calibri Light" w:hAnsi="Calibri Light" w:cs="Arial"/>
          <w:sz w:val="24"/>
          <w:szCs w:val="24"/>
          <w:lang w:val="es-ES"/>
        </w:rPr>
        <w:t>, son los usuarios finales</w:t>
      </w:r>
      <w:r w:rsidR="009832DA" w:rsidRPr="009863F2">
        <w:rPr>
          <w:rFonts w:ascii="Calibri Light" w:hAnsi="Calibri Light" w:cs="Arial"/>
          <w:sz w:val="24"/>
          <w:szCs w:val="24"/>
          <w:lang w:val="es-ES"/>
        </w:rPr>
        <w:t xml:space="preserve"> (beneficiarios)</w:t>
      </w:r>
      <w:r w:rsidRPr="009863F2">
        <w:rPr>
          <w:rFonts w:ascii="Calibri Light" w:hAnsi="Calibri Light" w:cs="Arial"/>
          <w:sz w:val="24"/>
          <w:szCs w:val="24"/>
          <w:lang w:val="es-ES"/>
        </w:rPr>
        <w:t xml:space="preserve">, los desarrolladores inmobiliarios </w:t>
      </w:r>
      <w:r w:rsidR="003A71D5" w:rsidRPr="009863F2">
        <w:rPr>
          <w:rFonts w:ascii="Calibri Light" w:hAnsi="Calibri Light" w:cs="Arial"/>
          <w:sz w:val="24"/>
          <w:szCs w:val="24"/>
          <w:lang w:val="es-ES"/>
        </w:rPr>
        <w:t xml:space="preserve">(constructores y promotores) </w:t>
      </w:r>
      <w:r w:rsidRPr="009863F2">
        <w:rPr>
          <w:rFonts w:ascii="Calibri Light" w:hAnsi="Calibri Light" w:cs="Arial"/>
          <w:sz w:val="24"/>
          <w:szCs w:val="24"/>
          <w:lang w:val="es-ES"/>
        </w:rPr>
        <w:t xml:space="preserve">y el </w:t>
      </w:r>
      <w:r w:rsidR="009832DA" w:rsidRPr="009863F2">
        <w:rPr>
          <w:rFonts w:ascii="Calibri Light" w:hAnsi="Calibri Light" w:cs="Arial"/>
          <w:sz w:val="24"/>
          <w:szCs w:val="24"/>
          <w:lang w:val="es-ES"/>
        </w:rPr>
        <w:t>sistema financiero (</w:t>
      </w:r>
      <w:r w:rsidR="00081212" w:rsidRPr="009863F2">
        <w:rPr>
          <w:rFonts w:ascii="Calibri Light" w:hAnsi="Calibri Light" w:cs="Arial"/>
          <w:sz w:val="24"/>
          <w:szCs w:val="24"/>
          <w:lang w:val="es-ES"/>
        </w:rPr>
        <w:t xml:space="preserve">lo cual incluye </w:t>
      </w:r>
      <w:r w:rsidR="009832DA" w:rsidRPr="009863F2">
        <w:rPr>
          <w:rFonts w:ascii="Calibri Light" w:hAnsi="Calibri Light" w:cs="Arial"/>
          <w:sz w:val="24"/>
          <w:szCs w:val="24"/>
          <w:lang w:val="es-ES"/>
        </w:rPr>
        <w:t xml:space="preserve">tanto al </w:t>
      </w:r>
      <w:r w:rsidRPr="009863F2">
        <w:rPr>
          <w:rFonts w:ascii="Calibri Light" w:hAnsi="Calibri Light" w:cs="Arial"/>
          <w:sz w:val="24"/>
          <w:szCs w:val="24"/>
          <w:lang w:val="es-ES"/>
        </w:rPr>
        <w:t xml:space="preserve">mercado de capitales </w:t>
      </w:r>
      <w:r w:rsidR="009832DA" w:rsidRPr="009863F2">
        <w:rPr>
          <w:rFonts w:ascii="Calibri Light" w:hAnsi="Calibri Light" w:cs="Arial"/>
          <w:sz w:val="24"/>
          <w:szCs w:val="24"/>
          <w:lang w:val="es-ES"/>
        </w:rPr>
        <w:t xml:space="preserve">como a los intermediarios </w:t>
      </w:r>
      <w:r w:rsidRPr="009863F2">
        <w:rPr>
          <w:rFonts w:ascii="Calibri Light" w:hAnsi="Calibri Light" w:cs="Arial"/>
          <w:sz w:val="24"/>
          <w:szCs w:val="24"/>
          <w:lang w:val="es-ES"/>
        </w:rPr>
        <w:t>financier</w:t>
      </w:r>
      <w:r w:rsidR="009832DA" w:rsidRPr="009863F2">
        <w:rPr>
          <w:rFonts w:ascii="Calibri Light" w:hAnsi="Calibri Light" w:cs="Arial"/>
          <w:sz w:val="24"/>
          <w:szCs w:val="24"/>
          <w:lang w:val="es-ES"/>
        </w:rPr>
        <w:t>o</w:t>
      </w:r>
      <w:r w:rsidRPr="009863F2">
        <w:rPr>
          <w:rFonts w:ascii="Calibri Light" w:hAnsi="Calibri Light" w:cs="Arial"/>
          <w:sz w:val="24"/>
          <w:szCs w:val="24"/>
          <w:lang w:val="es-ES"/>
        </w:rPr>
        <w:t>s</w:t>
      </w:r>
      <w:r w:rsidR="009832DA" w:rsidRPr="009863F2">
        <w:rPr>
          <w:rFonts w:ascii="Calibri Light" w:hAnsi="Calibri Light" w:cs="Arial"/>
          <w:sz w:val="24"/>
          <w:szCs w:val="24"/>
          <w:lang w:val="es-ES"/>
        </w:rPr>
        <w:t>)</w:t>
      </w:r>
      <w:r w:rsidRPr="009863F2">
        <w:rPr>
          <w:rFonts w:ascii="Calibri Light" w:hAnsi="Calibri Light" w:cs="Arial"/>
          <w:sz w:val="24"/>
          <w:szCs w:val="24"/>
          <w:lang w:val="es-ES"/>
        </w:rPr>
        <w:t>.</w:t>
      </w:r>
      <w:r w:rsidRPr="009863F2">
        <w:rPr>
          <w:rFonts w:ascii="Calibri Light" w:hAnsi="Calibri Light" w:cs="Arial"/>
          <w:noProof/>
          <w:sz w:val="24"/>
          <w:szCs w:val="24"/>
          <w:lang w:val="es-ES_tradnl" w:eastAsia="zh-CN"/>
        </w:rPr>
        <w:t xml:space="preserve"> </w:t>
      </w:r>
    </w:p>
    <w:p w14:paraId="42D0C1D4" w14:textId="77777777" w:rsidR="00A95004" w:rsidRPr="009863F2" w:rsidRDefault="00A95004" w:rsidP="009863F2">
      <w:pPr>
        <w:spacing w:after="0" w:line="240" w:lineRule="auto"/>
        <w:jc w:val="both"/>
        <w:rPr>
          <w:rFonts w:ascii="Calibri Light" w:hAnsi="Calibri Light" w:cs="Arial"/>
          <w:sz w:val="24"/>
          <w:szCs w:val="24"/>
          <w:lang w:val="es-ES"/>
        </w:rPr>
      </w:pPr>
    </w:p>
    <w:p w14:paraId="7D121438" w14:textId="61DC9124" w:rsidR="00D71B01" w:rsidRPr="009863F2" w:rsidRDefault="00D71B01" w:rsidP="009863F2">
      <w:pPr>
        <w:spacing w:after="0" w:line="240" w:lineRule="auto"/>
        <w:jc w:val="center"/>
        <w:rPr>
          <w:rFonts w:ascii="Calibri Light" w:hAnsi="Calibri Light" w:cs="Arial"/>
          <w:sz w:val="24"/>
          <w:szCs w:val="24"/>
          <w:lang w:val="es-ES"/>
        </w:rPr>
      </w:pPr>
      <w:r w:rsidRPr="009863F2">
        <w:rPr>
          <w:rFonts w:ascii="Calibri Light" w:hAnsi="Calibri Light"/>
          <w:noProof/>
          <w:sz w:val="24"/>
          <w:szCs w:val="24"/>
        </w:rPr>
        <w:drawing>
          <wp:inline distT="0" distB="0" distL="0" distR="0" wp14:anchorId="49E393A3" wp14:editId="6CA4FF33">
            <wp:extent cx="4207911" cy="282105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7911" cy="2821051"/>
                    </a:xfrm>
                    <a:prstGeom prst="rect">
                      <a:avLst/>
                    </a:prstGeom>
                    <a:noFill/>
                    <a:ln>
                      <a:noFill/>
                    </a:ln>
                  </pic:spPr>
                </pic:pic>
              </a:graphicData>
            </a:graphic>
          </wp:inline>
        </w:drawing>
      </w:r>
    </w:p>
    <w:p w14:paraId="24F3CE26" w14:textId="77777777" w:rsidR="00D71B01" w:rsidRPr="009863F2" w:rsidRDefault="00D71B01" w:rsidP="009863F2">
      <w:pPr>
        <w:spacing w:after="0" w:line="240" w:lineRule="auto"/>
        <w:jc w:val="both"/>
        <w:rPr>
          <w:rFonts w:ascii="Calibri Light" w:hAnsi="Calibri Light" w:cs="Arial"/>
          <w:sz w:val="24"/>
          <w:szCs w:val="24"/>
          <w:lang w:val="es-ES_tradnl"/>
        </w:rPr>
      </w:pPr>
    </w:p>
    <w:p w14:paraId="5DA8BAE1" w14:textId="6449AC95" w:rsidR="00071C6B" w:rsidRPr="009863F2" w:rsidRDefault="00071C6B"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En </w:t>
      </w:r>
      <w:r w:rsidR="005C604D" w:rsidRPr="009863F2">
        <w:rPr>
          <w:rFonts w:ascii="Calibri Light" w:hAnsi="Calibri Light" w:cs="Arial"/>
          <w:sz w:val="24"/>
          <w:szCs w:val="24"/>
          <w:lang w:val="es-ES_tradnl"/>
        </w:rPr>
        <w:t>este marco</w:t>
      </w:r>
      <w:r w:rsidRPr="009863F2">
        <w:rPr>
          <w:rFonts w:ascii="Calibri Light" w:hAnsi="Calibri Light" w:cs="Arial"/>
          <w:sz w:val="24"/>
          <w:szCs w:val="24"/>
          <w:lang w:val="es-ES_tradnl"/>
        </w:rPr>
        <w:t xml:space="preserve"> </w:t>
      </w:r>
      <w:r w:rsidR="000D345F" w:rsidRPr="009863F2">
        <w:rPr>
          <w:rFonts w:ascii="Calibri Light" w:hAnsi="Calibri Light" w:cs="Arial"/>
          <w:sz w:val="24"/>
          <w:szCs w:val="24"/>
          <w:lang w:val="es-ES_tradnl"/>
        </w:rPr>
        <w:t>cobra importancia</w:t>
      </w:r>
      <w:r w:rsidRPr="009863F2">
        <w:rPr>
          <w:rFonts w:ascii="Calibri Light" w:hAnsi="Calibri Light" w:cs="Arial"/>
          <w:sz w:val="24"/>
          <w:szCs w:val="24"/>
          <w:lang w:val="es-ES_tradnl"/>
        </w:rPr>
        <w:t xml:space="preserve"> el concepto de asequibilidad de vivienda formal</w:t>
      </w:r>
      <w:r w:rsidR="005539DF" w:rsidRPr="009863F2">
        <w:rPr>
          <w:rFonts w:ascii="Calibri Light" w:hAnsi="Calibri Light" w:cs="Arial"/>
          <w:sz w:val="24"/>
          <w:szCs w:val="24"/>
          <w:lang w:val="es-ES_tradnl"/>
        </w:rPr>
        <w:t xml:space="preserve"> (AVF)</w:t>
      </w:r>
      <w:r w:rsidRPr="009863F2">
        <w:rPr>
          <w:rFonts w:ascii="Calibri Light" w:hAnsi="Calibri Light" w:cs="Arial"/>
          <w:sz w:val="24"/>
          <w:szCs w:val="24"/>
          <w:lang w:val="es-ES_tradnl"/>
        </w:rPr>
        <w:t xml:space="preserve">, definido como la capacidad </w:t>
      </w:r>
      <w:r w:rsidR="00081212" w:rsidRPr="009863F2">
        <w:rPr>
          <w:rFonts w:ascii="Calibri Light" w:hAnsi="Calibri Light" w:cs="Arial"/>
          <w:sz w:val="24"/>
          <w:szCs w:val="24"/>
          <w:lang w:val="es-ES_tradnl"/>
        </w:rPr>
        <w:t>de</w:t>
      </w:r>
      <w:r w:rsidRPr="009863F2">
        <w:rPr>
          <w:rFonts w:ascii="Calibri Light" w:hAnsi="Calibri Light" w:cs="Arial"/>
          <w:sz w:val="24"/>
          <w:szCs w:val="24"/>
          <w:lang w:val="es-ES_tradnl"/>
        </w:rPr>
        <w:t xml:space="preserve"> un hogar para</w:t>
      </w:r>
      <w:r w:rsidR="000D345F" w:rsidRPr="009863F2">
        <w:rPr>
          <w:rFonts w:ascii="Calibri Light" w:hAnsi="Calibri Light" w:cs="Arial"/>
          <w:sz w:val="24"/>
          <w:szCs w:val="24"/>
          <w:lang w:val="es-ES_tradnl"/>
        </w:rPr>
        <w:t>: i)</w:t>
      </w:r>
      <w:r w:rsidRPr="009863F2">
        <w:rPr>
          <w:rFonts w:ascii="Calibri Light" w:hAnsi="Calibri Light" w:cs="Arial"/>
          <w:sz w:val="24"/>
          <w:szCs w:val="24"/>
          <w:lang w:val="es-ES_tradnl"/>
        </w:rPr>
        <w:t xml:space="preserve"> comprar directamente o</w:t>
      </w:r>
      <w:r w:rsidR="000D345F" w:rsidRPr="009863F2">
        <w:rPr>
          <w:rFonts w:ascii="Calibri Light" w:hAnsi="Calibri Light" w:cs="Arial"/>
          <w:sz w:val="24"/>
          <w:szCs w:val="24"/>
          <w:lang w:val="es-ES_tradnl"/>
        </w:rPr>
        <w:t xml:space="preserve"> ii)</w:t>
      </w:r>
      <w:r w:rsidRPr="009863F2">
        <w:rPr>
          <w:rFonts w:ascii="Calibri Light" w:hAnsi="Calibri Light" w:cs="Arial"/>
          <w:sz w:val="24"/>
          <w:szCs w:val="24"/>
          <w:lang w:val="es-ES_tradnl"/>
        </w:rPr>
        <w:t xml:space="preserve"> reunir las condiciones para acceder a financiamiento privado para adquirir una vivienda</w:t>
      </w:r>
      <w:r w:rsidR="000D345F"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construida </w:t>
      </w:r>
      <w:r w:rsidR="00081212" w:rsidRPr="009863F2">
        <w:rPr>
          <w:rFonts w:ascii="Calibri Light" w:hAnsi="Calibri Light" w:cs="Arial"/>
          <w:sz w:val="24"/>
          <w:szCs w:val="24"/>
          <w:lang w:val="es-ES_tradnl"/>
        </w:rPr>
        <w:t xml:space="preserve">de acuerdo con </w:t>
      </w:r>
      <w:r w:rsidRPr="009863F2">
        <w:rPr>
          <w:rFonts w:ascii="Calibri Light" w:hAnsi="Calibri Light" w:cs="Arial"/>
          <w:sz w:val="24"/>
          <w:szCs w:val="24"/>
          <w:lang w:val="es-ES_tradnl"/>
        </w:rPr>
        <w:t>los códigos vigentes de construcción en terrenos legalmente divididos y urbanizados</w:t>
      </w:r>
      <w:r w:rsidR="007E3066" w:rsidRPr="009863F2">
        <w:rPr>
          <w:rFonts w:ascii="Calibri Light" w:hAnsi="Calibri Light" w:cs="Arial"/>
          <w:sz w:val="24"/>
          <w:szCs w:val="24"/>
          <w:lang w:val="es-ES_tradnl"/>
        </w:rPr>
        <w:t xml:space="preserve"> (Bouillon, 2012)</w:t>
      </w:r>
      <w:r w:rsidRPr="009863F2">
        <w:rPr>
          <w:rFonts w:ascii="Calibri Light" w:hAnsi="Calibri Light" w:cs="Arial"/>
          <w:sz w:val="24"/>
          <w:szCs w:val="24"/>
          <w:lang w:val="es-ES_tradnl"/>
        </w:rPr>
        <w:t>.</w:t>
      </w:r>
    </w:p>
    <w:p w14:paraId="2D1633EA" w14:textId="77777777" w:rsidR="00BC40A5" w:rsidRPr="009863F2" w:rsidRDefault="00BC40A5" w:rsidP="009863F2">
      <w:pPr>
        <w:spacing w:after="0" w:line="240" w:lineRule="auto"/>
        <w:jc w:val="both"/>
        <w:rPr>
          <w:rFonts w:ascii="Calibri Light" w:hAnsi="Calibri Light" w:cs="Arial"/>
          <w:sz w:val="24"/>
          <w:szCs w:val="24"/>
          <w:lang w:val="es-ES_tradnl"/>
        </w:rPr>
      </w:pPr>
    </w:p>
    <w:p w14:paraId="47D25A3F" w14:textId="261375E0" w:rsidR="005539DF" w:rsidRPr="009863F2" w:rsidRDefault="00081212" w:rsidP="009863F2">
      <w:pPr>
        <w:pStyle w:val="Heading2"/>
        <w:numPr>
          <w:ilvl w:val="1"/>
          <w:numId w:val="1"/>
        </w:numPr>
        <w:spacing w:before="0" w:line="240" w:lineRule="auto"/>
        <w:rPr>
          <w:rFonts w:ascii="Calibri Light" w:hAnsi="Calibri Light" w:cs="Arial"/>
          <w:szCs w:val="24"/>
          <w:lang w:val="es-ES_tradnl"/>
        </w:rPr>
      </w:pPr>
      <w:bookmarkStart w:id="3" w:name="_Toc504406829"/>
      <w:r w:rsidRPr="009863F2">
        <w:rPr>
          <w:rFonts w:ascii="Calibri Light" w:hAnsi="Calibri Light" w:cs="Arial"/>
          <w:szCs w:val="24"/>
          <w:lang w:val="es-ES_tradnl"/>
        </w:rPr>
        <w:t>F</w:t>
      </w:r>
      <w:r w:rsidR="005539DF" w:rsidRPr="009863F2">
        <w:rPr>
          <w:rFonts w:ascii="Calibri Light" w:hAnsi="Calibri Light" w:cs="Arial"/>
          <w:szCs w:val="24"/>
          <w:lang w:val="es-ES_tradnl"/>
        </w:rPr>
        <w:t>actores que definen el problema de la asequibilidad de vivienda formal</w:t>
      </w:r>
      <w:bookmarkEnd w:id="3"/>
    </w:p>
    <w:p w14:paraId="6BDCEC3D" w14:textId="77777777" w:rsidR="005539DF" w:rsidRPr="009863F2" w:rsidRDefault="005539DF" w:rsidP="009863F2">
      <w:pPr>
        <w:spacing w:after="0" w:line="240" w:lineRule="auto"/>
        <w:jc w:val="both"/>
        <w:rPr>
          <w:rFonts w:ascii="Calibri Light" w:hAnsi="Calibri Light" w:cs="Arial"/>
          <w:sz w:val="24"/>
          <w:szCs w:val="24"/>
          <w:lang w:val="es-ES_tradnl"/>
        </w:rPr>
      </w:pPr>
    </w:p>
    <w:p w14:paraId="192F4D1F" w14:textId="30C86D4F" w:rsidR="003B4A78" w:rsidRPr="009863F2" w:rsidRDefault="000D345F"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Entender </w:t>
      </w:r>
      <w:r w:rsidR="00080CA6" w:rsidRPr="009863F2">
        <w:rPr>
          <w:rFonts w:ascii="Calibri Light" w:hAnsi="Calibri Light" w:cs="Arial"/>
          <w:sz w:val="24"/>
          <w:szCs w:val="24"/>
          <w:lang w:val="es-ES_tradnl"/>
        </w:rPr>
        <w:t xml:space="preserve">los factores que determinan la </w:t>
      </w:r>
      <w:r w:rsidR="00081212" w:rsidRPr="009863F2">
        <w:rPr>
          <w:rFonts w:ascii="Calibri Light" w:hAnsi="Calibri Light" w:cs="Arial"/>
          <w:sz w:val="24"/>
          <w:szCs w:val="24"/>
          <w:lang w:val="es-ES_tradnl"/>
        </w:rPr>
        <w:t>AVF</w:t>
      </w:r>
      <w:r w:rsidR="00080CA6" w:rsidRPr="009863F2">
        <w:rPr>
          <w:rFonts w:ascii="Calibri Light" w:hAnsi="Calibri Light" w:cs="Arial"/>
          <w:sz w:val="24"/>
          <w:szCs w:val="24"/>
          <w:lang w:val="es-ES_tradnl"/>
        </w:rPr>
        <w:t xml:space="preserve"> </w:t>
      </w:r>
      <w:r w:rsidR="00CF5EBB" w:rsidRPr="009863F2">
        <w:rPr>
          <w:rFonts w:ascii="Calibri Light" w:hAnsi="Calibri Light" w:cs="Arial"/>
          <w:sz w:val="24"/>
          <w:szCs w:val="24"/>
          <w:lang w:val="es-ES_tradnl"/>
        </w:rPr>
        <w:t>permite</w:t>
      </w:r>
      <w:r w:rsidRPr="009863F2">
        <w:rPr>
          <w:rFonts w:ascii="Calibri Light" w:hAnsi="Calibri Light" w:cs="Arial"/>
          <w:sz w:val="24"/>
          <w:szCs w:val="24"/>
          <w:lang w:val="es-ES_tradnl"/>
        </w:rPr>
        <w:t xml:space="preserve"> analizar el problema del acceso </w:t>
      </w:r>
      <w:r w:rsidR="005C604D" w:rsidRPr="009863F2">
        <w:rPr>
          <w:rFonts w:ascii="Calibri Light" w:hAnsi="Calibri Light" w:cs="Arial"/>
          <w:sz w:val="24"/>
          <w:szCs w:val="24"/>
          <w:lang w:val="es-ES_tradnl"/>
        </w:rPr>
        <w:t>al</w:t>
      </w:r>
      <w:r w:rsidRPr="009863F2">
        <w:rPr>
          <w:rFonts w:ascii="Calibri Light" w:hAnsi="Calibri Light" w:cs="Arial"/>
          <w:sz w:val="24"/>
          <w:szCs w:val="24"/>
          <w:lang w:val="es-ES_tradnl"/>
        </w:rPr>
        <w:t xml:space="preserve"> financiamiento para la vivienda. E</w:t>
      </w:r>
      <w:r w:rsidR="00080CA6" w:rsidRPr="009863F2">
        <w:rPr>
          <w:rFonts w:ascii="Calibri Light" w:hAnsi="Calibri Light" w:cs="Arial"/>
          <w:sz w:val="24"/>
          <w:szCs w:val="24"/>
          <w:lang w:val="es-ES_tradnl"/>
        </w:rPr>
        <w:t xml:space="preserve">ntre </w:t>
      </w:r>
      <w:r w:rsidR="00CC513A" w:rsidRPr="009863F2">
        <w:rPr>
          <w:rFonts w:ascii="Calibri Light" w:hAnsi="Calibri Light" w:cs="Arial"/>
          <w:sz w:val="24"/>
          <w:szCs w:val="24"/>
          <w:lang w:val="es-ES_tradnl"/>
        </w:rPr>
        <w:t>estos factores</w:t>
      </w:r>
      <w:r w:rsidR="00080CA6" w:rsidRPr="009863F2">
        <w:rPr>
          <w:rFonts w:ascii="Calibri Light" w:hAnsi="Calibri Light" w:cs="Arial"/>
          <w:sz w:val="24"/>
          <w:szCs w:val="24"/>
          <w:lang w:val="es-ES_tradnl"/>
        </w:rPr>
        <w:t xml:space="preserve">, el más importante (pero no el único) es el </w:t>
      </w:r>
      <w:r w:rsidR="00080CA6" w:rsidRPr="009863F2">
        <w:rPr>
          <w:rFonts w:ascii="Calibri Light" w:hAnsi="Calibri Light" w:cs="Arial"/>
          <w:sz w:val="24"/>
          <w:szCs w:val="24"/>
          <w:lang w:val="es-ES_tradnl"/>
        </w:rPr>
        <w:lastRenderedPageBreak/>
        <w:t>ingreso.</w:t>
      </w:r>
      <w:r w:rsidR="003C13BA" w:rsidRPr="009863F2">
        <w:rPr>
          <w:rFonts w:ascii="Calibri Light" w:hAnsi="Calibri Light" w:cs="Arial"/>
          <w:sz w:val="24"/>
          <w:szCs w:val="24"/>
          <w:lang w:val="es-ES_tradnl"/>
        </w:rPr>
        <w:t xml:space="preserve"> </w:t>
      </w:r>
      <w:r w:rsidR="009832DA" w:rsidRPr="009863F2">
        <w:rPr>
          <w:rFonts w:ascii="Calibri Light" w:hAnsi="Calibri Light" w:cs="Arial"/>
          <w:sz w:val="24"/>
          <w:szCs w:val="24"/>
          <w:lang w:val="es-ES_tradnl"/>
        </w:rPr>
        <w:t>S</w:t>
      </w:r>
      <w:r w:rsidR="005C604D" w:rsidRPr="009863F2">
        <w:rPr>
          <w:rFonts w:ascii="Calibri Light" w:hAnsi="Calibri Light" w:cs="Arial"/>
          <w:sz w:val="24"/>
          <w:szCs w:val="24"/>
          <w:lang w:val="es-ES_tradnl"/>
        </w:rPr>
        <w:t xml:space="preserve">iendo la </w:t>
      </w:r>
      <w:r w:rsidR="00080CA6" w:rsidRPr="009863F2">
        <w:rPr>
          <w:rFonts w:ascii="Calibri Light" w:hAnsi="Calibri Light" w:cs="Arial"/>
          <w:sz w:val="24"/>
          <w:szCs w:val="24"/>
          <w:lang w:val="es-ES_tradnl"/>
        </w:rPr>
        <w:t xml:space="preserve">insuficiencia de ingresos </w:t>
      </w:r>
      <w:r w:rsidR="003C13BA" w:rsidRPr="009863F2">
        <w:rPr>
          <w:rFonts w:ascii="Calibri Light" w:hAnsi="Calibri Light" w:cs="Arial"/>
          <w:sz w:val="24"/>
          <w:szCs w:val="24"/>
          <w:lang w:val="es-ES_tradnl"/>
        </w:rPr>
        <w:t xml:space="preserve">el </w:t>
      </w:r>
      <w:r w:rsidR="00080CA6" w:rsidRPr="009863F2">
        <w:rPr>
          <w:rFonts w:ascii="Calibri Light" w:hAnsi="Calibri Light" w:cs="Arial"/>
          <w:sz w:val="24"/>
          <w:szCs w:val="24"/>
          <w:lang w:val="es-ES_tradnl"/>
        </w:rPr>
        <w:t xml:space="preserve">factor limitante </w:t>
      </w:r>
      <w:r w:rsidR="00D82E41" w:rsidRPr="009863F2">
        <w:rPr>
          <w:rFonts w:ascii="Calibri Light" w:hAnsi="Calibri Light" w:cs="Arial"/>
          <w:sz w:val="24"/>
          <w:szCs w:val="24"/>
          <w:lang w:val="es-ES_tradnl"/>
        </w:rPr>
        <w:t>clave para</w:t>
      </w:r>
      <w:r w:rsidR="00080CA6" w:rsidRPr="009863F2">
        <w:rPr>
          <w:rFonts w:ascii="Calibri Light" w:hAnsi="Calibri Light" w:cs="Arial"/>
          <w:sz w:val="24"/>
          <w:szCs w:val="24"/>
          <w:lang w:val="es-ES_tradnl"/>
        </w:rPr>
        <w:t xml:space="preserve"> la </w:t>
      </w:r>
      <w:r w:rsidR="00081212" w:rsidRPr="009863F2">
        <w:rPr>
          <w:rFonts w:ascii="Calibri Light" w:hAnsi="Calibri Light" w:cs="Arial"/>
          <w:sz w:val="24"/>
          <w:szCs w:val="24"/>
          <w:lang w:val="es-ES_tradnl"/>
        </w:rPr>
        <w:t>AVF</w:t>
      </w:r>
      <w:r w:rsidR="00D82E41" w:rsidRPr="009863F2">
        <w:rPr>
          <w:rFonts w:ascii="Calibri Light" w:hAnsi="Calibri Light" w:cs="Arial"/>
          <w:sz w:val="24"/>
          <w:szCs w:val="24"/>
          <w:lang w:val="es-ES_tradnl"/>
        </w:rPr>
        <w:t xml:space="preserve">, </w:t>
      </w:r>
      <w:r w:rsidR="00EA1C1A" w:rsidRPr="009863F2">
        <w:rPr>
          <w:rFonts w:ascii="Calibri Light" w:hAnsi="Calibri Light" w:cs="Arial"/>
          <w:sz w:val="24"/>
          <w:szCs w:val="24"/>
          <w:lang w:val="es-ES_tradnl"/>
        </w:rPr>
        <w:t xml:space="preserve">cabe </w:t>
      </w:r>
      <w:r w:rsidR="00080CA6" w:rsidRPr="009863F2">
        <w:rPr>
          <w:rFonts w:ascii="Calibri Light" w:hAnsi="Calibri Light" w:cs="Arial"/>
          <w:sz w:val="24"/>
          <w:szCs w:val="24"/>
          <w:lang w:val="es-ES_tradnl"/>
        </w:rPr>
        <w:t xml:space="preserve">precisar que es la incapacidad de documentarlos </w:t>
      </w:r>
      <w:r w:rsidRPr="009863F2">
        <w:rPr>
          <w:rFonts w:ascii="Calibri Light" w:hAnsi="Calibri Light" w:cs="Arial"/>
          <w:sz w:val="24"/>
          <w:szCs w:val="24"/>
          <w:lang w:val="es-ES_tradnl"/>
        </w:rPr>
        <w:t xml:space="preserve">el tema </w:t>
      </w:r>
      <w:r w:rsidR="003B4A78" w:rsidRPr="009863F2">
        <w:rPr>
          <w:rFonts w:ascii="Calibri Light" w:hAnsi="Calibri Light" w:cs="Arial"/>
          <w:sz w:val="24"/>
          <w:szCs w:val="24"/>
          <w:lang w:val="es-ES_tradnl"/>
        </w:rPr>
        <w:t>p</w:t>
      </w:r>
      <w:r w:rsidRPr="009863F2">
        <w:rPr>
          <w:rFonts w:ascii="Calibri Light" w:hAnsi="Calibri Light" w:cs="Arial"/>
          <w:sz w:val="24"/>
          <w:szCs w:val="24"/>
          <w:lang w:val="es-ES_tradnl"/>
        </w:rPr>
        <w:t>rincipal</w:t>
      </w:r>
      <w:r w:rsidR="00CC513A"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080CA6" w:rsidRPr="009863F2">
        <w:rPr>
          <w:rFonts w:ascii="Calibri Light" w:hAnsi="Calibri Light" w:cs="Arial"/>
          <w:sz w:val="24"/>
          <w:szCs w:val="24"/>
          <w:lang w:val="es-ES_tradnl"/>
        </w:rPr>
        <w:t>por encima del efecto de la tasa de interés</w:t>
      </w:r>
      <w:r w:rsidR="00CC513A" w:rsidRPr="009863F2">
        <w:rPr>
          <w:rFonts w:ascii="Calibri Light" w:hAnsi="Calibri Light" w:cs="Arial"/>
          <w:sz w:val="24"/>
          <w:szCs w:val="24"/>
          <w:lang w:val="es-ES_tradnl"/>
        </w:rPr>
        <w:t>.</w:t>
      </w:r>
      <w:r w:rsidR="00080CA6" w:rsidRPr="009863F2">
        <w:rPr>
          <w:rStyle w:val="FootnoteReference"/>
          <w:rFonts w:ascii="Calibri Light" w:hAnsi="Calibri Light" w:cs="Arial"/>
          <w:sz w:val="24"/>
          <w:szCs w:val="24"/>
          <w:lang w:val="es-ES_tradnl"/>
        </w:rPr>
        <w:footnoteReference w:id="1"/>
      </w:r>
      <w:r w:rsidR="00080CA6" w:rsidRPr="009863F2">
        <w:rPr>
          <w:rFonts w:ascii="Calibri Light" w:hAnsi="Calibri Light" w:cs="Arial"/>
          <w:sz w:val="24"/>
          <w:szCs w:val="24"/>
          <w:lang w:val="es-ES_tradnl"/>
        </w:rPr>
        <w:t xml:space="preserve"> </w:t>
      </w:r>
    </w:p>
    <w:p w14:paraId="46AE4E5E" w14:textId="77777777" w:rsidR="003B4A78" w:rsidRPr="009863F2" w:rsidRDefault="003B4A78" w:rsidP="009863F2">
      <w:pPr>
        <w:spacing w:after="0" w:line="240" w:lineRule="auto"/>
        <w:jc w:val="both"/>
        <w:rPr>
          <w:rFonts w:ascii="Calibri Light" w:hAnsi="Calibri Light" w:cs="Arial"/>
          <w:sz w:val="24"/>
          <w:szCs w:val="24"/>
          <w:lang w:val="es-ES_tradnl"/>
        </w:rPr>
      </w:pPr>
    </w:p>
    <w:p w14:paraId="28013727" w14:textId="49F8A1E9" w:rsidR="00080CA6" w:rsidRPr="009863F2" w:rsidRDefault="003B4A78"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Esta situación requiere poder incorporar, dentro del análisis de las herramientas necesarias para desarrollar un sistema adecuado de financiamiento, aquellos elementos que también permitan “formalizar” de alguna manera viable y comprobable los ingresos de grupos de personas que, por sus características, hoy no serían sujeto de crédito de los intermediarios financieros.</w:t>
      </w:r>
      <w:r w:rsidR="000D5D7C" w:rsidRPr="009863F2">
        <w:rPr>
          <w:rFonts w:ascii="Calibri Light" w:hAnsi="Calibri Light" w:cs="Arial"/>
          <w:sz w:val="24"/>
          <w:szCs w:val="24"/>
          <w:lang w:val="es-ES_tradnl"/>
        </w:rPr>
        <w:t xml:space="preserve"> </w:t>
      </w:r>
      <w:r w:rsidR="003C13BA" w:rsidRPr="009863F2">
        <w:rPr>
          <w:rFonts w:ascii="Calibri Light" w:hAnsi="Calibri Light" w:cs="Arial"/>
          <w:sz w:val="24"/>
          <w:szCs w:val="24"/>
          <w:lang w:val="es-ES_tradnl"/>
        </w:rPr>
        <w:t>Asimismo</w:t>
      </w:r>
      <w:r w:rsidR="000D5D7C" w:rsidRPr="009863F2">
        <w:rPr>
          <w:rFonts w:ascii="Calibri Light" w:hAnsi="Calibri Light" w:cs="Arial"/>
          <w:sz w:val="24"/>
          <w:szCs w:val="24"/>
          <w:lang w:val="es-ES_tradnl"/>
        </w:rPr>
        <w:t xml:space="preserve">, </w:t>
      </w:r>
      <w:r w:rsidR="0082174F" w:rsidRPr="009863F2">
        <w:rPr>
          <w:rFonts w:ascii="Calibri Light" w:hAnsi="Calibri Light" w:cs="Arial"/>
          <w:sz w:val="24"/>
          <w:szCs w:val="24"/>
          <w:lang w:val="es-ES_tradnl"/>
        </w:rPr>
        <w:t>hay que</w:t>
      </w:r>
      <w:r w:rsidR="003C13BA" w:rsidRPr="009863F2">
        <w:rPr>
          <w:rFonts w:ascii="Calibri Light" w:hAnsi="Calibri Light" w:cs="Arial"/>
          <w:sz w:val="24"/>
          <w:szCs w:val="24"/>
          <w:lang w:val="es-ES_tradnl"/>
        </w:rPr>
        <w:t xml:space="preserve"> reconocer</w:t>
      </w:r>
      <w:r w:rsidR="000D5D7C" w:rsidRPr="009863F2">
        <w:rPr>
          <w:rFonts w:ascii="Calibri Light" w:hAnsi="Calibri Light" w:cs="Arial"/>
          <w:sz w:val="24"/>
          <w:szCs w:val="24"/>
          <w:lang w:val="es-ES_tradnl"/>
        </w:rPr>
        <w:t xml:space="preserve"> que esa aproximación ex ante pued</w:t>
      </w:r>
      <w:r w:rsidR="0082174F" w:rsidRPr="009863F2">
        <w:rPr>
          <w:rFonts w:ascii="Calibri Light" w:hAnsi="Calibri Light" w:cs="Arial"/>
          <w:sz w:val="24"/>
          <w:szCs w:val="24"/>
          <w:lang w:val="es-ES_tradnl"/>
        </w:rPr>
        <w:t>e</w:t>
      </w:r>
      <w:r w:rsidR="000D5D7C" w:rsidRPr="009863F2">
        <w:rPr>
          <w:rFonts w:ascii="Calibri Light" w:hAnsi="Calibri Light" w:cs="Arial"/>
          <w:sz w:val="24"/>
          <w:szCs w:val="24"/>
          <w:lang w:val="es-ES_tradnl"/>
        </w:rPr>
        <w:t xml:space="preserve"> no </w:t>
      </w:r>
      <w:r w:rsidR="0082174F" w:rsidRPr="009863F2">
        <w:rPr>
          <w:rFonts w:ascii="Calibri Light" w:hAnsi="Calibri Light" w:cs="Arial"/>
          <w:sz w:val="24"/>
          <w:szCs w:val="24"/>
          <w:lang w:val="es-ES_tradnl"/>
        </w:rPr>
        <w:t>tener cabida</w:t>
      </w:r>
      <w:r w:rsidR="000D5D7C" w:rsidRPr="009863F2">
        <w:rPr>
          <w:rFonts w:ascii="Calibri Light" w:hAnsi="Calibri Light" w:cs="Arial"/>
          <w:sz w:val="24"/>
          <w:szCs w:val="24"/>
          <w:lang w:val="es-ES_tradnl"/>
        </w:rPr>
        <w:t xml:space="preserve"> </w:t>
      </w:r>
      <w:r w:rsidR="0082174F" w:rsidRPr="009863F2">
        <w:rPr>
          <w:rFonts w:ascii="Calibri Light" w:hAnsi="Calibri Light" w:cs="Arial"/>
          <w:sz w:val="24"/>
          <w:szCs w:val="24"/>
          <w:lang w:val="es-ES_tradnl"/>
        </w:rPr>
        <w:t xml:space="preserve">en virtud de los </w:t>
      </w:r>
      <w:r w:rsidR="000D5D7C" w:rsidRPr="009863F2">
        <w:rPr>
          <w:rFonts w:ascii="Calibri Light" w:hAnsi="Calibri Light" w:cs="Arial"/>
          <w:sz w:val="24"/>
          <w:szCs w:val="24"/>
          <w:lang w:val="es-ES_tradnl"/>
        </w:rPr>
        <w:t>problemas estructurales de cada país</w:t>
      </w:r>
      <w:r w:rsidR="0082174F" w:rsidRPr="009863F2">
        <w:rPr>
          <w:rFonts w:ascii="Calibri Light" w:hAnsi="Calibri Light" w:cs="Arial"/>
          <w:sz w:val="24"/>
          <w:szCs w:val="24"/>
          <w:lang w:val="es-ES_tradnl"/>
        </w:rPr>
        <w:t>,</w:t>
      </w:r>
      <w:r w:rsidR="000D5D7C" w:rsidRPr="009863F2">
        <w:rPr>
          <w:rFonts w:ascii="Calibri Light" w:hAnsi="Calibri Light" w:cs="Arial"/>
          <w:sz w:val="24"/>
          <w:szCs w:val="24"/>
          <w:lang w:val="es-ES_tradnl"/>
        </w:rPr>
        <w:t xml:space="preserve"> y </w:t>
      </w:r>
      <w:r w:rsidR="0082174F" w:rsidRPr="009863F2">
        <w:rPr>
          <w:rFonts w:ascii="Calibri Light" w:hAnsi="Calibri Light" w:cs="Arial"/>
          <w:sz w:val="24"/>
          <w:szCs w:val="24"/>
          <w:lang w:val="es-ES_tradnl"/>
        </w:rPr>
        <w:t>que entonces deba recurrirse a</w:t>
      </w:r>
      <w:r w:rsidR="000D5D7C" w:rsidRPr="009863F2">
        <w:rPr>
          <w:rFonts w:ascii="Calibri Light" w:hAnsi="Calibri Light" w:cs="Arial"/>
          <w:sz w:val="24"/>
          <w:szCs w:val="24"/>
          <w:lang w:val="es-ES_tradnl"/>
        </w:rPr>
        <w:t xml:space="preserve"> una aproximación ex post</w:t>
      </w:r>
      <w:r w:rsidR="003C13BA" w:rsidRPr="009863F2">
        <w:rPr>
          <w:rFonts w:ascii="Calibri Light" w:hAnsi="Calibri Light" w:cs="Arial"/>
          <w:sz w:val="24"/>
          <w:szCs w:val="24"/>
          <w:lang w:val="es-ES_tradnl"/>
        </w:rPr>
        <w:t>.</w:t>
      </w:r>
    </w:p>
    <w:p w14:paraId="51ADA630" w14:textId="77777777" w:rsidR="000D345F" w:rsidRPr="009863F2" w:rsidRDefault="000D345F" w:rsidP="009863F2">
      <w:pPr>
        <w:spacing w:after="0" w:line="240" w:lineRule="auto"/>
        <w:jc w:val="both"/>
        <w:rPr>
          <w:rFonts w:ascii="Calibri Light" w:hAnsi="Calibri Light" w:cs="Arial"/>
          <w:sz w:val="24"/>
          <w:szCs w:val="24"/>
          <w:lang w:val="es-ES_tradnl"/>
        </w:rPr>
      </w:pPr>
    </w:p>
    <w:p w14:paraId="0DCD632C" w14:textId="6E99CD92" w:rsidR="00277AE1" w:rsidRPr="009863F2" w:rsidRDefault="000D345F"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El tema de los ingresos </w:t>
      </w:r>
      <w:r w:rsidR="0082174F" w:rsidRPr="009863F2">
        <w:rPr>
          <w:rFonts w:ascii="Calibri Light" w:hAnsi="Calibri Light" w:cs="Arial"/>
          <w:sz w:val="24"/>
          <w:szCs w:val="24"/>
          <w:lang w:val="es-ES_tradnl"/>
        </w:rPr>
        <w:t>–</w:t>
      </w:r>
      <w:r w:rsidRPr="009863F2">
        <w:rPr>
          <w:rFonts w:ascii="Calibri Light" w:hAnsi="Calibri Light" w:cs="Arial"/>
          <w:sz w:val="24"/>
          <w:szCs w:val="24"/>
          <w:lang w:val="es-ES_tradnl"/>
        </w:rPr>
        <w:t>como una aproximación desde la demanda</w:t>
      </w:r>
      <w:r w:rsidR="0082174F"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tiene su contrapartida en la oferta necesaria para definir el mercado de la vivienda (físico y financiero). </w:t>
      </w:r>
      <w:r w:rsidR="000D5D7C" w:rsidRPr="009863F2">
        <w:rPr>
          <w:rFonts w:ascii="Calibri Light" w:hAnsi="Calibri Light" w:cs="Arial"/>
          <w:sz w:val="24"/>
          <w:szCs w:val="24"/>
          <w:lang w:val="es-ES_tradnl"/>
        </w:rPr>
        <w:t>En este sentido, los actores intervinientes son los</w:t>
      </w:r>
      <w:r w:rsidRPr="009863F2">
        <w:rPr>
          <w:rFonts w:ascii="Calibri Light" w:hAnsi="Calibri Light" w:cs="Arial"/>
          <w:sz w:val="24"/>
          <w:szCs w:val="24"/>
          <w:lang w:val="es-ES_tradnl"/>
        </w:rPr>
        <w:t xml:space="preserve"> promotores y desarrolladores </w:t>
      </w:r>
      <w:r w:rsidR="000D5D7C" w:rsidRPr="009863F2">
        <w:rPr>
          <w:rFonts w:ascii="Calibri Light" w:hAnsi="Calibri Light" w:cs="Arial"/>
          <w:sz w:val="24"/>
          <w:szCs w:val="24"/>
          <w:lang w:val="es-ES_tradnl"/>
        </w:rPr>
        <w:t xml:space="preserve">que </w:t>
      </w:r>
      <w:r w:rsidRPr="009863F2">
        <w:rPr>
          <w:rFonts w:ascii="Calibri Light" w:hAnsi="Calibri Light" w:cs="Arial"/>
          <w:sz w:val="24"/>
          <w:szCs w:val="24"/>
          <w:lang w:val="es-ES_tradnl"/>
        </w:rPr>
        <w:t>definen el precio de la vivienda</w:t>
      </w:r>
      <w:r w:rsidR="0082174F" w:rsidRPr="009863F2">
        <w:rPr>
          <w:rFonts w:ascii="Calibri Light" w:hAnsi="Calibri Light" w:cs="Arial"/>
          <w:sz w:val="24"/>
          <w:szCs w:val="24"/>
          <w:lang w:val="es-ES_tradnl"/>
        </w:rPr>
        <w:t xml:space="preserve"> (</w:t>
      </w:r>
      <w:r w:rsidR="003C13BA" w:rsidRPr="009863F2">
        <w:rPr>
          <w:rFonts w:ascii="Calibri Light" w:hAnsi="Calibri Light" w:cs="Arial"/>
          <w:sz w:val="24"/>
          <w:szCs w:val="24"/>
          <w:lang w:val="es-ES_tradnl"/>
        </w:rPr>
        <w:t>otro de los factores asociados a la AVF</w:t>
      </w:r>
      <w:r w:rsidR="0082174F" w:rsidRPr="009863F2">
        <w:rPr>
          <w:rFonts w:ascii="Calibri Light" w:hAnsi="Calibri Light" w:cs="Arial"/>
          <w:sz w:val="24"/>
          <w:szCs w:val="24"/>
          <w:lang w:val="es-ES_tradnl"/>
        </w:rPr>
        <w:t>)</w:t>
      </w:r>
      <w:r w:rsidR="003C13BA" w:rsidRPr="009863F2">
        <w:rPr>
          <w:rFonts w:ascii="Calibri Light" w:hAnsi="Calibri Light" w:cs="Arial"/>
          <w:sz w:val="24"/>
          <w:szCs w:val="24"/>
          <w:lang w:val="es-ES_tradnl"/>
        </w:rPr>
        <w:t xml:space="preserve"> </w:t>
      </w:r>
      <w:r w:rsidR="000D5D7C" w:rsidRPr="009863F2">
        <w:rPr>
          <w:rFonts w:ascii="Calibri Light" w:hAnsi="Calibri Light" w:cs="Arial"/>
          <w:sz w:val="24"/>
          <w:szCs w:val="24"/>
          <w:lang w:val="es-ES_tradnl"/>
        </w:rPr>
        <w:t xml:space="preserve">y </w:t>
      </w:r>
      <w:r w:rsidRPr="009863F2">
        <w:rPr>
          <w:rFonts w:ascii="Calibri Light" w:hAnsi="Calibri Light" w:cs="Arial"/>
          <w:sz w:val="24"/>
          <w:szCs w:val="24"/>
          <w:lang w:val="es-ES_tradnl"/>
        </w:rPr>
        <w:t xml:space="preserve">el sistema financiero </w:t>
      </w:r>
      <w:r w:rsidR="003C13BA" w:rsidRPr="009863F2">
        <w:rPr>
          <w:rFonts w:ascii="Calibri Light" w:hAnsi="Calibri Light" w:cs="Arial"/>
          <w:sz w:val="24"/>
          <w:szCs w:val="24"/>
          <w:lang w:val="es-ES_tradnl"/>
        </w:rPr>
        <w:t xml:space="preserve">que </w:t>
      </w:r>
      <w:r w:rsidR="0082174F" w:rsidRPr="009863F2">
        <w:rPr>
          <w:rFonts w:ascii="Calibri Light" w:hAnsi="Calibri Light" w:cs="Arial"/>
          <w:sz w:val="24"/>
          <w:szCs w:val="24"/>
          <w:lang w:val="es-ES_tradnl"/>
        </w:rPr>
        <w:t xml:space="preserve">determina </w:t>
      </w:r>
      <w:r w:rsidR="00E42E1D" w:rsidRPr="009863F2">
        <w:rPr>
          <w:rFonts w:ascii="Calibri Light" w:hAnsi="Calibri Light" w:cs="Arial"/>
          <w:sz w:val="24"/>
          <w:szCs w:val="24"/>
          <w:lang w:val="es-ES_tradnl"/>
        </w:rPr>
        <w:t>la existencia de los medios para generar el financiamiento de la vivienda</w:t>
      </w:r>
      <w:r w:rsidR="000D5D7C" w:rsidRPr="009863F2">
        <w:rPr>
          <w:rFonts w:ascii="Calibri Light" w:hAnsi="Calibri Light" w:cs="Arial"/>
          <w:sz w:val="24"/>
          <w:szCs w:val="24"/>
          <w:lang w:val="es-ES_tradnl"/>
        </w:rPr>
        <w:t>.</w:t>
      </w:r>
      <w:r w:rsidR="00E42E1D" w:rsidRPr="009863F2">
        <w:rPr>
          <w:rFonts w:ascii="Calibri Light" w:hAnsi="Calibri Light" w:cs="Arial"/>
          <w:sz w:val="24"/>
          <w:szCs w:val="24"/>
          <w:lang w:val="es-ES_tradnl"/>
        </w:rPr>
        <w:t xml:space="preserve"> </w:t>
      </w:r>
    </w:p>
    <w:p w14:paraId="1B623965" w14:textId="77777777" w:rsidR="00277AE1" w:rsidRPr="009863F2" w:rsidRDefault="00277AE1" w:rsidP="009863F2">
      <w:pPr>
        <w:spacing w:after="0" w:line="240" w:lineRule="auto"/>
        <w:jc w:val="both"/>
        <w:rPr>
          <w:rFonts w:ascii="Calibri Light" w:hAnsi="Calibri Light" w:cs="Arial"/>
          <w:sz w:val="24"/>
          <w:szCs w:val="24"/>
          <w:lang w:val="es-ES_tradnl"/>
        </w:rPr>
      </w:pPr>
    </w:p>
    <w:p w14:paraId="2240AA31" w14:textId="77777777" w:rsidR="000D5D7C" w:rsidRPr="009863F2" w:rsidRDefault="000D5D7C"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El último de los actores intervinientes </w:t>
      </w:r>
      <w:r w:rsidR="003C13BA" w:rsidRPr="009863F2">
        <w:rPr>
          <w:rFonts w:ascii="Calibri Light" w:hAnsi="Calibri Light" w:cs="Arial"/>
          <w:sz w:val="24"/>
          <w:szCs w:val="24"/>
          <w:lang w:val="es-ES_tradnl"/>
        </w:rPr>
        <w:t xml:space="preserve">es </w:t>
      </w:r>
      <w:r w:rsidRPr="009863F2">
        <w:rPr>
          <w:rFonts w:ascii="Calibri Light" w:hAnsi="Calibri Light" w:cs="Arial"/>
          <w:sz w:val="24"/>
          <w:szCs w:val="24"/>
          <w:lang w:val="es-ES_tradnl"/>
        </w:rPr>
        <w:t>el Estado</w:t>
      </w:r>
      <w:r w:rsidR="003C13BA" w:rsidRPr="009863F2">
        <w:rPr>
          <w:rFonts w:ascii="Calibri Light" w:hAnsi="Calibri Light" w:cs="Arial"/>
          <w:sz w:val="24"/>
          <w:szCs w:val="24"/>
          <w:lang w:val="es-ES_tradnl"/>
        </w:rPr>
        <w:t xml:space="preserve"> y </w:t>
      </w:r>
      <w:r w:rsidR="00390D62" w:rsidRPr="009863F2">
        <w:rPr>
          <w:rFonts w:ascii="Calibri Light" w:hAnsi="Calibri Light" w:cs="Arial"/>
          <w:sz w:val="24"/>
          <w:szCs w:val="24"/>
          <w:lang w:val="es-ES_tradnl"/>
        </w:rPr>
        <w:t xml:space="preserve">su participación es </w:t>
      </w:r>
      <w:r w:rsidRPr="009863F2">
        <w:rPr>
          <w:rFonts w:ascii="Calibri Light" w:hAnsi="Calibri Light" w:cs="Arial"/>
          <w:sz w:val="24"/>
          <w:szCs w:val="24"/>
          <w:lang w:val="es-ES_tradnl"/>
        </w:rPr>
        <w:t>fundamental a la hora de asegurar el desarrollo de políticas públicas que permitan la reducción del déficit de vivienda e incentiven una aproximación hacia una construcción sostenible desde la óptica ambiental y de planificación urbana. Su herramienta clave</w:t>
      </w:r>
      <w:r w:rsidR="003C13BA" w:rsidRPr="009863F2">
        <w:rPr>
          <w:rFonts w:ascii="Calibri Light" w:hAnsi="Calibri Light" w:cs="Arial"/>
          <w:sz w:val="24"/>
          <w:szCs w:val="24"/>
          <w:lang w:val="es-ES_tradnl"/>
        </w:rPr>
        <w:t xml:space="preserve"> es la provisión efectiva</w:t>
      </w:r>
      <w:r w:rsidRPr="009863F2">
        <w:rPr>
          <w:rFonts w:ascii="Calibri Light" w:hAnsi="Calibri Light" w:cs="Arial"/>
          <w:sz w:val="24"/>
          <w:szCs w:val="24"/>
          <w:lang w:val="es-ES_tradnl"/>
        </w:rPr>
        <w:t>, eficaz y eficiente de subsidios en aquellos casos que sean necesarios.</w:t>
      </w:r>
    </w:p>
    <w:p w14:paraId="25CDCCC1" w14:textId="77777777" w:rsidR="00A95004" w:rsidRPr="009863F2" w:rsidRDefault="00A95004" w:rsidP="009863F2">
      <w:pPr>
        <w:spacing w:after="0" w:line="240" w:lineRule="auto"/>
        <w:jc w:val="both"/>
        <w:rPr>
          <w:rFonts w:ascii="Calibri Light" w:hAnsi="Calibri Light" w:cs="Arial"/>
          <w:sz w:val="24"/>
          <w:szCs w:val="24"/>
          <w:lang w:val="es-ES_tradnl"/>
        </w:rPr>
      </w:pPr>
    </w:p>
    <w:p w14:paraId="6334CF5E" w14:textId="4961BBA1" w:rsidR="00A95004" w:rsidRPr="009863F2" w:rsidRDefault="001B3607" w:rsidP="009863F2">
      <w:pPr>
        <w:pStyle w:val="ListParagraph"/>
        <w:spacing w:after="0" w:line="240" w:lineRule="auto"/>
        <w:ind w:left="0"/>
        <w:contextualSpacing w:val="0"/>
        <w:jc w:val="both"/>
        <w:rPr>
          <w:rFonts w:ascii="Calibri Light" w:hAnsi="Calibri Light" w:cs="Arial"/>
          <w:sz w:val="24"/>
          <w:szCs w:val="24"/>
          <w:lang w:val="es-ES"/>
        </w:rPr>
      </w:pPr>
      <w:r w:rsidRPr="009863F2">
        <w:rPr>
          <w:rFonts w:ascii="Calibri Light" w:hAnsi="Calibri Light" w:cs="Arial"/>
          <w:sz w:val="24"/>
          <w:szCs w:val="24"/>
          <w:lang w:val="es-ES_tradnl"/>
        </w:rPr>
        <w:t xml:space="preserve">Definidas las partes interactuantes y el problema multidimensional principal, </w:t>
      </w:r>
      <w:r w:rsidR="00390D62" w:rsidRPr="009863F2">
        <w:rPr>
          <w:rFonts w:ascii="Calibri Light" w:hAnsi="Calibri Light" w:cs="Arial"/>
          <w:sz w:val="24"/>
          <w:szCs w:val="24"/>
          <w:lang w:val="es-ES_tradnl"/>
        </w:rPr>
        <w:t xml:space="preserve">es posible </w:t>
      </w:r>
      <w:r w:rsidR="00EA1C1A" w:rsidRPr="009863F2">
        <w:rPr>
          <w:rFonts w:ascii="Calibri Light" w:hAnsi="Calibri Light" w:cs="Arial"/>
          <w:sz w:val="24"/>
          <w:szCs w:val="24"/>
          <w:lang w:val="es-ES_tradnl"/>
        </w:rPr>
        <w:t>centrar</w:t>
      </w:r>
      <w:r w:rsidR="00390D62" w:rsidRPr="009863F2">
        <w:rPr>
          <w:rFonts w:ascii="Calibri Light" w:hAnsi="Calibri Light" w:cs="Arial"/>
          <w:sz w:val="24"/>
          <w:szCs w:val="24"/>
          <w:lang w:val="es-ES_tradnl"/>
        </w:rPr>
        <w:t>se</w:t>
      </w:r>
      <w:r w:rsidR="00EA1C1A" w:rsidRPr="009863F2">
        <w:rPr>
          <w:rFonts w:ascii="Calibri Light" w:hAnsi="Calibri Light" w:cs="Arial"/>
          <w:sz w:val="24"/>
          <w:szCs w:val="24"/>
          <w:lang w:val="es-ES_tradnl"/>
        </w:rPr>
        <w:t xml:space="preserve"> </w:t>
      </w:r>
      <w:r w:rsidR="00DA0334" w:rsidRPr="009863F2">
        <w:rPr>
          <w:rFonts w:ascii="Calibri Light" w:hAnsi="Calibri Light" w:cs="Arial"/>
          <w:sz w:val="24"/>
          <w:szCs w:val="24"/>
          <w:lang w:val="es-ES_tradnl"/>
        </w:rPr>
        <w:t>en las dificultades relacionadas</w:t>
      </w:r>
      <w:r w:rsidR="00EA1C1A" w:rsidRPr="009863F2">
        <w:rPr>
          <w:rFonts w:ascii="Calibri Light" w:hAnsi="Calibri Light" w:cs="Arial"/>
          <w:sz w:val="24"/>
          <w:szCs w:val="24"/>
          <w:lang w:val="es-ES_tradnl"/>
        </w:rPr>
        <w:t xml:space="preserve"> con </w:t>
      </w:r>
      <w:r w:rsidR="003C13BA" w:rsidRPr="009863F2">
        <w:rPr>
          <w:rFonts w:ascii="Calibri Light" w:hAnsi="Calibri Light" w:cs="Arial"/>
          <w:sz w:val="24"/>
          <w:szCs w:val="24"/>
          <w:lang w:val="es-ES_tradnl"/>
        </w:rPr>
        <w:t xml:space="preserve">el financiamiento </w:t>
      </w:r>
      <w:r w:rsidR="00EA1C1A" w:rsidRPr="009863F2">
        <w:rPr>
          <w:rFonts w:ascii="Calibri Light" w:hAnsi="Calibri Light" w:cs="Arial"/>
          <w:sz w:val="24"/>
          <w:szCs w:val="24"/>
          <w:lang w:val="es-ES_tradnl"/>
        </w:rPr>
        <w:t>del mercado de la vivienda y sus distintos aspectos y posibles soluciones</w:t>
      </w:r>
      <w:r w:rsidR="00390D62" w:rsidRPr="009863F2">
        <w:rPr>
          <w:rFonts w:ascii="Calibri Light" w:hAnsi="Calibri Light" w:cs="Arial"/>
          <w:sz w:val="24"/>
          <w:szCs w:val="24"/>
          <w:lang w:val="es-ES_tradnl"/>
        </w:rPr>
        <w:t>. Ello,</w:t>
      </w:r>
      <w:r w:rsidR="00EA1C1A" w:rsidRPr="009863F2">
        <w:rPr>
          <w:rFonts w:ascii="Calibri Light" w:hAnsi="Calibri Light" w:cs="Arial"/>
          <w:sz w:val="24"/>
          <w:szCs w:val="24"/>
          <w:lang w:val="es-ES_tradnl"/>
        </w:rPr>
        <w:t xml:space="preserve"> desde la óptica de la política pública y los instrumentos y herramientas que pueden </w:t>
      </w:r>
      <w:r w:rsidR="00DA0334" w:rsidRPr="009863F2">
        <w:rPr>
          <w:rFonts w:ascii="Calibri Light" w:hAnsi="Calibri Light" w:cs="Arial"/>
          <w:sz w:val="24"/>
          <w:szCs w:val="24"/>
          <w:lang w:val="es-ES_tradnl"/>
        </w:rPr>
        <w:t xml:space="preserve">ponerse en marcha </w:t>
      </w:r>
      <w:r w:rsidR="003B4A78" w:rsidRPr="009863F2">
        <w:rPr>
          <w:rFonts w:ascii="Calibri Light" w:hAnsi="Calibri Light" w:cs="Arial"/>
          <w:sz w:val="24"/>
          <w:szCs w:val="24"/>
          <w:lang w:val="es-ES_tradnl"/>
        </w:rPr>
        <w:t>para cada caso en particular</w:t>
      </w:r>
      <w:r w:rsidR="00390D62" w:rsidRPr="009863F2">
        <w:rPr>
          <w:rFonts w:ascii="Calibri Light" w:hAnsi="Calibri Light" w:cs="Arial"/>
          <w:sz w:val="24"/>
          <w:szCs w:val="24"/>
          <w:lang w:val="es-ES_tradnl"/>
        </w:rPr>
        <w:t>,</w:t>
      </w:r>
      <w:r w:rsidR="003B4A78" w:rsidRPr="009863F2">
        <w:rPr>
          <w:rFonts w:ascii="Calibri Light" w:hAnsi="Calibri Light" w:cs="Arial"/>
          <w:sz w:val="24"/>
          <w:szCs w:val="24"/>
          <w:lang w:val="es-ES_tradnl"/>
        </w:rPr>
        <w:t xml:space="preserve"> entendiendo que un adecuado desarrollo del </w:t>
      </w:r>
      <w:r w:rsidR="00DA0334" w:rsidRPr="009863F2">
        <w:rPr>
          <w:rFonts w:ascii="Calibri Light" w:hAnsi="Calibri Light" w:cs="Arial"/>
          <w:sz w:val="24"/>
          <w:szCs w:val="24"/>
          <w:lang w:val="es-ES_tradnl"/>
        </w:rPr>
        <w:t xml:space="preserve">financiamiento </w:t>
      </w:r>
      <w:r w:rsidR="003B4A78" w:rsidRPr="009863F2">
        <w:rPr>
          <w:rFonts w:ascii="Calibri Light" w:hAnsi="Calibri Light" w:cs="Arial"/>
          <w:sz w:val="24"/>
          <w:szCs w:val="24"/>
          <w:lang w:val="es-ES_tradnl"/>
        </w:rPr>
        <w:t xml:space="preserve">serviría para limitar y </w:t>
      </w:r>
      <w:r w:rsidR="00390D62" w:rsidRPr="009863F2">
        <w:rPr>
          <w:rFonts w:ascii="Calibri Light" w:hAnsi="Calibri Light" w:cs="Arial"/>
          <w:sz w:val="24"/>
          <w:szCs w:val="24"/>
          <w:lang w:val="es-ES_tradnl"/>
        </w:rPr>
        <w:t>moderar</w:t>
      </w:r>
      <w:r w:rsidR="003B4A78" w:rsidRPr="009863F2">
        <w:rPr>
          <w:rFonts w:ascii="Calibri Light" w:hAnsi="Calibri Light" w:cs="Arial"/>
          <w:sz w:val="24"/>
          <w:szCs w:val="24"/>
          <w:lang w:val="es-ES_tradnl"/>
        </w:rPr>
        <w:t xml:space="preserve"> los impactos del resto de las variables</w:t>
      </w:r>
      <w:r w:rsidR="003B4A78" w:rsidRPr="009863F2">
        <w:rPr>
          <w:rStyle w:val="FootnoteReference"/>
          <w:rFonts w:ascii="Calibri Light" w:hAnsi="Calibri Light" w:cs="Arial"/>
          <w:sz w:val="24"/>
          <w:szCs w:val="24"/>
          <w:lang w:val="es-ES_tradnl"/>
        </w:rPr>
        <w:footnoteReference w:id="2"/>
      </w:r>
      <w:r w:rsidR="003B4A78" w:rsidRPr="009863F2">
        <w:rPr>
          <w:rFonts w:ascii="Calibri Light" w:hAnsi="Calibri Light" w:cs="Arial"/>
          <w:sz w:val="24"/>
          <w:szCs w:val="24"/>
          <w:lang w:val="es-ES_tradnl"/>
        </w:rPr>
        <w:t>.</w:t>
      </w:r>
    </w:p>
    <w:p w14:paraId="7C043F62" w14:textId="77777777" w:rsidR="00E42E1D" w:rsidRPr="009863F2" w:rsidRDefault="00E42E1D" w:rsidP="009863F2">
      <w:pPr>
        <w:spacing w:after="0" w:line="240" w:lineRule="auto"/>
        <w:jc w:val="both"/>
        <w:rPr>
          <w:rFonts w:ascii="Calibri Light" w:hAnsi="Calibri Light" w:cs="Arial"/>
          <w:sz w:val="24"/>
          <w:szCs w:val="24"/>
          <w:lang w:val="es-ES_tradnl"/>
        </w:rPr>
      </w:pPr>
    </w:p>
    <w:p w14:paraId="4A008491" w14:textId="4567FD09" w:rsidR="005539DF" w:rsidRPr="009863F2" w:rsidRDefault="005539DF" w:rsidP="009863F2">
      <w:pPr>
        <w:pStyle w:val="Heading2"/>
        <w:numPr>
          <w:ilvl w:val="1"/>
          <w:numId w:val="1"/>
        </w:numPr>
        <w:spacing w:before="0" w:line="240" w:lineRule="auto"/>
        <w:rPr>
          <w:rFonts w:ascii="Calibri Light" w:hAnsi="Calibri Light" w:cs="Arial"/>
          <w:szCs w:val="24"/>
          <w:lang w:val="es-ES_tradnl"/>
        </w:rPr>
      </w:pPr>
      <w:bookmarkStart w:id="4" w:name="_Toc504406830"/>
      <w:r w:rsidRPr="009863F2">
        <w:rPr>
          <w:rFonts w:ascii="Calibri Light" w:hAnsi="Calibri Light" w:cs="Arial"/>
          <w:szCs w:val="24"/>
          <w:lang w:val="es-ES_tradnl"/>
        </w:rPr>
        <w:t xml:space="preserve">El mercado de financiamiento </w:t>
      </w:r>
      <w:r w:rsidR="00DA0334" w:rsidRPr="009863F2">
        <w:rPr>
          <w:rFonts w:ascii="Calibri Light" w:hAnsi="Calibri Light" w:cs="Arial"/>
          <w:szCs w:val="24"/>
          <w:lang w:val="es-ES_tradnl"/>
        </w:rPr>
        <w:t>par</w:t>
      </w:r>
      <w:r w:rsidRPr="009863F2">
        <w:rPr>
          <w:rFonts w:ascii="Calibri Light" w:hAnsi="Calibri Light" w:cs="Arial"/>
          <w:szCs w:val="24"/>
          <w:lang w:val="es-ES_tradnl"/>
        </w:rPr>
        <w:t>a la vivienda</w:t>
      </w:r>
      <w:r w:rsidR="003C13BA" w:rsidRPr="009863F2">
        <w:rPr>
          <w:rFonts w:ascii="Calibri Light" w:hAnsi="Calibri Light" w:cs="Arial"/>
          <w:szCs w:val="24"/>
          <w:lang w:val="es-ES_tradnl"/>
        </w:rPr>
        <w:t xml:space="preserve">: </w:t>
      </w:r>
      <w:r w:rsidR="00DA0334" w:rsidRPr="009863F2">
        <w:rPr>
          <w:rFonts w:ascii="Calibri Light" w:hAnsi="Calibri Light" w:cs="Arial"/>
          <w:szCs w:val="24"/>
          <w:lang w:val="es-ES_tradnl"/>
        </w:rPr>
        <w:t>s</w:t>
      </w:r>
      <w:r w:rsidR="00CB3D5A" w:rsidRPr="009863F2">
        <w:rPr>
          <w:rFonts w:ascii="Calibri Light" w:hAnsi="Calibri Light" w:cs="Arial"/>
          <w:szCs w:val="24"/>
          <w:lang w:val="es-ES_tradnl"/>
        </w:rPr>
        <w:t xml:space="preserve">u situación en </w:t>
      </w:r>
      <w:r w:rsidR="003C13BA" w:rsidRPr="009863F2">
        <w:rPr>
          <w:rFonts w:ascii="Calibri Light" w:hAnsi="Calibri Light" w:cs="Arial"/>
          <w:szCs w:val="24"/>
          <w:lang w:val="es-ES_tradnl"/>
        </w:rPr>
        <w:t>ALC y l</w:t>
      </w:r>
      <w:r w:rsidR="000D5D7C" w:rsidRPr="009863F2">
        <w:rPr>
          <w:rFonts w:ascii="Calibri Light" w:hAnsi="Calibri Light" w:cs="Arial"/>
          <w:szCs w:val="24"/>
          <w:lang w:val="es-ES_tradnl"/>
        </w:rPr>
        <w:t>as aproximaciones de política pública desarrolladas</w:t>
      </w:r>
      <w:bookmarkEnd w:id="4"/>
    </w:p>
    <w:p w14:paraId="10EA9328" w14:textId="77777777" w:rsidR="00EE17B8" w:rsidRPr="009863F2" w:rsidRDefault="00EE17B8" w:rsidP="009863F2">
      <w:pPr>
        <w:spacing w:after="0" w:line="240" w:lineRule="auto"/>
        <w:jc w:val="both"/>
        <w:rPr>
          <w:rFonts w:ascii="Calibri Light" w:hAnsi="Calibri Light" w:cs="Arial"/>
          <w:sz w:val="24"/>
          <w:szCs w:val="24"/>
          <w:lang w:val="es-ES"/>
        </w:rPr>
      </w:pPr>
    </w:p>
    <w:p w14:paraId="121C2F44" w14:textId="70C34D48" w:rsidR="00277AE1" w:rsidRPr="009863F2" w:rsidRDefault="005539DF"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El contar con un sistema de financiamiento </w:t>
      </w:r>
      <w:r w:rsidR="00DA0334" w:rsidRPr="009863F2">
        <w:rPr>
          <w:rFonts w:ascii="Calibri Light" w:hAnsi="Calibri Light" w:cs="Arial"/>
          <w:sz w:val="24"/>
          <w:szCs w:val="24"/>
          <w:lang w:val="es-ES"/>
        </w:rPr>
        <w:t xml:space="preserve">para la </w:t>
      </w:r>
      <w:r w:rsidRPr="009863F2">
        <w:rPr>
          <w:rFonts w:ascii="Calibri Light" w:hAnsi="Calibri Light" w:cs="Arial"/>
          <w:sz w:val="24"/>
          <w:szCs w:val="24"/>
          <w:lang w:val="es-ES"/>
        </w:rPr>
        <w:t xml:space="preserve">vivienda que facilite y estimule una mayor participación del sector privado </w:t>
      </w:r>
      <w:r w:rsidR="00DA0334" w:rsidRPr="009863F2">
        <w:rPr>
          <w:rFonts w:ascii="Calibri Light" w:hAnsi="Calibri Light" w:cs="Arial"/>
          <w:sz w:val="24"/>
          <w:szCs w:val="24"/>
          <w:lang w:val="es-ES"/>
        </w:rPr>
        <w:t xml:space="preserve">debería </w:t>
      </w:r>
      <w:r w:rsidRPr="009863F2">
        <w:rPr>
          <w:rFonts w:ascii="Calibri Light" w:hAnsi="Calibri Light" w:cs="Arial"/>
          <w:sz w:val="24"/>
          <w:szCs w:val="24"/>
          <w:lang w:val="es-ES"/>
        </w:rPr>
        <w:t xml:space="preserve">ser uno de los pasos clave para mejorar el acceso a la vivienda apropiada en la región. </w:t>
      </w:r>
      <w:r w:rsidR="009E4A4C" w:rsidRPr="009863F2">
        <w:rPr>
          <w:rFonts w:ascii="Calibri Light" w:hAnsi="Calibri Light" w:cs="Arial"/>
          <w:sz w:val="24"/>
          <w:szCs w:val="24"/>
          <w:lang w:val="es-ES"/>
        </w:rPr>
        <w:t xml:space="preserve">Con excepción de algunos </w:t>
      </w:r>
      <w:r w:rsidR="00DA0334" w:rsidRPr="009863F2">
        <w:rPr>
          <w:rFonts w:ascii="Calibri Light" w:hAnsi="Calibri Light" w:cs="Arial"/>
          <w:sz w:val="24"/>
          <w:szCs w:val="24"/>
          <w:lang w:val="es-ES"/>
        </w:rPr>
        <w:t>casos</w:t>
      </w:r>
      <w:r w:rsidR="009E4A4C" w:rsidRPr="009863F2">
        <w:rPr>
          <w:rFonts w:ascii="Calibri Light" w:hAnsi="Calibri Light" w:cs="Arial"/>
          <w:sz w:val="24"/>
          <w:szCs w:val="24"/>
          <w:lang w:val="es-ES"/>
        </w:rPr>
        <w:t xml:space="preserve">, los sistemas de financiamiento </w:t>
      </w:r>
      <w:r w:rsidR="00DA0334" w:rsidRPr="009863F2">
        <w:rPr>
          <w:rFonts w:ascii="Calibri Light" w:hAnsi="Calibri Light" w:cs="Arial"/>
          <w:sz w:val="24"/>
          <w:szCs w:val="24"/>
          <w:lang w:val="es-ES"/>
        </w:rPr>
        <w:t xml:space="preserve">para la </w:t>
      </w:r>
      <w:r w:rsidR="009E4A4C" w:rsidRPr="009863F2">
        <w:rPr>
          <w:rFonts w:ascii="Calibri Light" w:hAnsi="Calibri Light" w:cs="Arial"/>
          <w:sz w:val="24"/>
          <w:szCs w:val="24"/>
          <w:lang w:val="es-ES"/>
        </w:rPr>
        <w:t xml:space="preserve">vivienda en los países de América Latina y el Caribe (ALC) son pequeños comparados con </w:t>
      </w:r>
      <w:r w:rsidR="009E4A4C" w:rsidRPr="009863F2">
        <w:rPr>
          <w:rFonts w:ascii="Calibri Light" w:hAnsi="Calibri Light" w:cs="Arial"/>
          <w:sz w:val="24"/>
          <w:szCs w:val="24"/>
          <w:lang w:val="es-ES"/>
        </w:rPr>
        <w:lastRenderedPageBreak/>
        <w:t>los de otras regiones. A pesar de ello</w:t>
      </w:r>
      <w:r w:rsidRPr="009863F2">
        <w:rPr>
          <w:rFonts w:ascii="Calibri Light" w:hAnsi="Calibri Light" w:cs="Arial"/>
          <w:sz w:val="24"/>
          <w:szCs w:val="24"/>
          <w:lang w:val="es-ES"/>
        </w:rPr>
        <w:t xml:space="preserve">, la participación del gobierno (y por lo tanto el gasto oficial) es importante en todos los países de la región y representa uno de los temas clave de cualquier agenda de política pública, </w:t>
      </w:r>
      <w:r w:rsidR="00DA0334" w:rsidRPr="009863F2">
        <w:rPr>
          <w:rFonts w:ascii="Calibri Light" w:hAnsi="Calibri Light" w:cs="Arial"/>
          <w:sz w:val="24"/>
          <w:szCs w:val="24"/>
          <w:lang w:val="es-ES"/>
        </w:rPr>
        <w:t>sobre todo</w:t>
      </w:r>
      <w:r w:rsidRPr="009863F2">
        <w:rPr>
          <w:rFonts w:ascii="Calibri Light" w:hAnsi="Calibri Light" w:cs="Arial"/>
          <w:sz w:val="24"/>
          <w:szCs w:val="24"/>
          <w:lang w:val="es-ES"/>
        </w:rPr>
        <w:t xml:space="preserve"> cuando se focaliza su intervención en la </w:t>
      </w:r>
      <w:r w:rsidR="009E4A4C" w:rsidRPr="009863F2">
        <w:rPr>
          <w:rFonts w:ascii="Calibri Light" w:hAnsi="Calibri Light" w:cs="Arial"/>
          <w:sz w:val="24"/>
          <w:szCs w:val="24"/>
          <w:lang w:val="es-ES"/>
        </w:rPr>
        <w:t>población de bajos ingresos</w:t>
      </w:r>
      <w:r w:rsidRPr="009863F2">
        <w:rPr>
          <w:rFonts w:ascii="Calibri Light" w:hAnsi="Calibri Light" w:cs="Arial"/>
          <w:sz w:val="24"/>
          <w:szCs w:val="24"/>
          <w:lang w:val="es-ES"/>
        </w:rPr>
        <w:t>.</w:t>
      </w:r>
      <w:r w:rsidR="00F23168" w:rsidRPr="009863F2">
        <w:rPr>
          <w:rFonts w:ascii="Calibri Light" w:hAnsi="Calibri Light" w:cs="Arial"/>
          <w:sz w:val="24"/>
          <w:szCs w:val="24"/>
          <w:lang w:val="es-ES"/>
        </w:rPr>
        <w:t xml:space="preserve"> </w:t>
      </w:r>
    </w:p>
    <w:p w14:paraId="5E4DECFD" w14:textId="77777777" w:rsidR="00277AE1" w:rsidRPr="009863F2" w:rsidRDefault="00277AE1" w:rsidP="009863F2">
      <w:pPr>
        <w:spacing w:after="0" w:line="240" w:lineRule="auto"/>
        <w:jc w:val="both"/>
        <w:rPr>
          <w:rFonts w:ascii="Calibri Light" w:hAnsi="Calibri Light" w:cs="Arial"/>
          <w:sz w:val="24"/>
          <w:szCs w:val="24"/>
          <w:lang w:val="es-ES"/>
        </w:rPr>
      </w:pPr>
    </w:p>
    <w:p w14:paraId="6E8982F8" w14:textId="24F5CB3C" w:rsidR="00EE17B8" w:rsidRPr="009863F2" w:rsidRDefault="009E4A4C"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A</w:t>
      </w:r>
      <w:r w:rsidR="00EE17B8" w:rsidRPr="009863F2">
        <w:rPr>
          <w:rFonts w:ascii="Calibri Light" w:hAnsi="Calibri Light" w:cs="Arial"/>
          <w:sz w:val="24"/>
          <w:szCs w:val="24"/>
          <w:lang w:val="es-ES"/>
        </w:rPr>
        <w:t xml:space="preserve"> lo largo de los últimos años </w:t>
      </w:r>
      <w:r w:rsidRPr="009863F2">
        <w:rPr>
          <w:rFonts w:ascii="Calibri Light" w:hAnsi="Calibri Light" w:cs="Arial"/>
          <w:sz w:val="24"/>
          <w:szCs w:val="24"/>
          <w:lang w:val="es-ES"/>
        </w:rPr>
        <w:t xml:space="preserve">los gobiernos de ALC han </w:t>
      </w:r>
      <w:r w:rsidR="00DA0334" w:rsidRPr="009863F2">
        <w:rPr>
          <w:rFonts w:ascii="Calibri Light" w:hAnsi="Calibri Light" w:cs="Arial"/>
          <w:sz w:val="24"/>
          <w:szCs w:val="24"/>
          <w:lang w:val="es-ES"/>
        </w:rPr>
        <w:t xml:space="preserve">puesto en marcha </w:t>
      </w:r>
      <w:r w:rsidR="00EE17B8" w:rsidRPr="009863F2">
        <w:rPr>
          <w:rFonts w:ascii="Calibri Light" w:hAnsi="Calibri Light" w:cs="Arial"/>
          <w:sz w:val="24"/>
          <w:szCs w:val="24"/>
          <w:lang w:val="es-ES"/>
        </w:rPr>
        <w:t xml:space="preserve">dos tipos de estrategias relacionadas con su rol de intervención </w:t>
      </w:r>
      <w:r w:rsidR="00DA0334" w:rsidRPr="009863F2">
        <w:rPr>
          <w:rFonts w:ascii="Calibri Light" w:hAnsi="Calibri Light" w:cs="Arial"/>
          <w:sz w:val="24"/>
          <w:szCs w:val="24"/>
          <w:lang w:val="es-ES"/>
        </w:rPr>
        <w:t xml:space="preserve">mediante las </w:t>
      </w:r>
      <w:r w:rsidR="00EE17B8" w:rsidRPr="009863F2">
        <w:rPr>
          <w:rFonts w:ascii="Calibri Light" w:hAnsi="Calibri Light" w:cs="Arial"/>
          <w:sz w:val="24"/>
          <w:szCs w:val="24"/>
          <w:lang w:val="es-ES"/>
        </w:rPr>
        <w:t xml:space="preserve">políticas públicas: </w:t>
      </w:r>
      <w:r w:rsidRPr="009863F2">
        <w:rPr>
          <w:rFonts w:ascii="Calibri Light" w:hAnsi="Calibri Light" w:cs="Arial"/>
          <w:sz w:val="24"/>
          <w:szCs w:val="24"/>
          <w:lang w:val="es-ES"/>
        </w:rPr>
        <w:t xml:space="preserve">i) </w:t>
      </w:r>
      <w:r w:rsidR="00DA0334" w:rsidRPr="009863F2">
        <w:rPr>
          <w:rFonts w:ascii="Calibri Light" w:hAnsi="Calibri Light" w:cs="Arial"/>
          <w:sz w:val="24"/>
          <w:szCs w:val="24"/>
          <w:lang w:val="es-ES"/>
        </w:rPr>
        <w:t>e</w:t>
      </w:r>
      <w:r w:rsidR="00EE17B8" w:rsidRPr="009863F2">
        <w:rPr>
          <w:rFonts w:ascii="Calibri Light" w:hAnsi="Calibri Light" w:cs="Arial"/>
          <w:sz w:val="24"/>
          <w:szCs w:val="24"/>
          <w:lang w:val="es-ES"/>
        </w:rPr>
        <w:t xml:space="preserve">l Estado constructor y </w:t>
      </w:r>
      <w:r w:rsidR="002523B7" w:rsidRPr="009863F2">
        <w:rPr>
          <w:rFonts w:ascii="Calibri Light" w:hAnsi="Calibri Light" w:cs="Arial"/>
          <w:sz w:val="24"/>
          <w:szCs w:val="24"/>
          <w:lang w:val="es-ES"/>
        </w:rPr>
        <w:t>financiador</w:t>
      </w:r>
      <w:r w:rsidR="00DA0334" w:rsidRPr="009863F2">
        <w:rPr>
          <w:rFonts w:ascii="Calibri Light" w:hAnsi="Calibri Light" w:cs="Arial"/>
          <w:sz w:val="24"/>
          <w:szCs w:val="24"/>
          <w:lang w:val="es-ES"/>
        </w:rPr>
        <w:t>,</w:t>
      </w:r>
      <w:r w:rsidRPr="009863F2">
        <w:rPr>
          <w:rFonts w:ascii="Calibri Light" w:hAnsi="Calibri Light" w:cs="Arial"/>
          <w:sz w:val="24"/>
          <w:szCs w:val="24"/>
          <w:lang w:val="es-ES"/>
        </w:rPr>
        <w:t xml:space="preserve"> y ii) </w:t>
      </w:r>
      <w:r w:rsidR="00DA0334" w:rsidRPr="009863F2">
        <w:rPr>
          <w:rFonts w:ascii="Calibri Light" w:hAnsi="Calibri Light" w:cs="Arial"/>
          <w:sz w:val="24"/>
          <w:szCs w:val="24"/>
          <w:lang w:val="es-ES"/>
        </w:rPr>
        <w:t>e</w:t>
      </w:r>
      <w:r w:rsidR="00EE17B8" w:rsidRPr="009863F2">
        <w:rPr>
          <w:rFonts w:ascii="Calibri Light" w:hAnsi="Calibri Light" w:cs="Arial"/>
          <w:sz w:val="24"/>
          <w:szCs w:val="24"/>
          <w:lang w:val="es-ES"/>
        </w:rPr>
        <w:t>l Estado facilitador</w:t>
      </w:r>
      <w:r w:rsidRPr="009863F2">
        <w:rPr>
          <w:rFonts w:ascii="Calibri Light" w:hAnsi="Calibri Light" w:cs="Arial"/>
          <w:sz w:val="24"/>
          <w:szCs w:val="24"/>
          <w:lang w:val="es-ES"/>
        </w:rPr>
        <w:t>.</w:t>
      </w:r>
    </w:p>
    <w:p w14:paraId="2C7254DD" w14:textId="77777777" w:rsidR="00EE17B8" w:rsidRPr="009863F2" w:rsidRDefault="00EE17B8" w:rsidP="009863F2">
      <w:pPr>
        <w:spacing w:after="0" w:line="240" w:lineRule="auto"/>
        <w:jc w:val="both"/>
        <w:rPr>
          <w:rFonts w:ascii="Calibri Light" w:hAnsi="Calibri Light" w:cs="Arial"/>
          <w:sz w:val="24"/>
          <w:szCs w:val="24"/>
          <w:lang w:val="es-ES"/>
        </w:rPr>
      </w:pPr>
    </w:p>
    <w:p w14:paraId="392E63FF" w14:textId="1EE59364" w:rsidR="00277AE1" w:rsidRPr="009863F2" w:rsidRDefault="00EE17B8"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En </w:t>
      </w:r>
      <w:r w:rsidR="00E763B6"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primer</w:t>
      </w:r>
      <w:r w:rsidR="007F5F97" w:rsidRPr="009863F2">
        <w:rPr>
          <w:rFonts w:ascii="Calibri Light" w:hAnsi="Calibri Light" w:cs="Arial"/>
          <w:sz w:val="24"/>
          <w:szCs w:val="24"/>
          <w:lang w:val="es-ES"/>
        </w:rPr>
        <w:t>a</w:t>
      </w:r>
      <w:r w:rsidRPr="009863F2">
        <w:rPr>
          <w:rFonts w:ascii="Calibri Light" w:hAnsi="Calibri Light" w:cs="Arial"/>
          <w:sz w:val="24"/>
          <w:szCs w:val="24"/>
          <w:lang w:val="es-ES"/>
        </w:rPr>
        <w:t xml:space="preserve"> </w:t>
      </w:r>
      <w:r w:rsidR="007F5F97" w:rsidRPr="009863F2">
        <w:rPr>
          <w:rFonts w:ascii="Calibri Light" w:hAnsi="Calibri Light" w:cs="Arial"/>
          <w:sz w:val="24"/>
          <w:szCs w:val="24"/>
          <w:lang w:val="es-ES"/>
        </w:rPr>
        <w:t>estrategia</w:t>
      </w:r>
      <w:r w:rsidRPr="009863F2">
        <w:rPr>
          <w:rFonts w:ascii="Calibri Light" w:hAnsi="Calibri Light" w:cs="Arial"/>
          <w:sz w:val="24"/>
          <w:szCs w:val="24"/>
          <w:lang w:val="es-ES"/>
        </w:rPr>
        <w:t xml:space="preserve">, el modelo consiste en la adquisición (o asignación) de terrenos, </w:t>
      </w:r>
      <w:r w:rsidR="00DA0334"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diseño de programas y </w:t>
      </w:r>
      <w:r w:rsidR="00DA0334"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 xml:space="preserve">contratación de empresas para </w:t>
      </w:r>
      <w:r w:rsidR="00DA0334" w:rsidRPr="009863F2">
        <w:rPr>
          <w:rFonts w:ascii="Calibri Light" w:hAnsi="Calibri Light" w:cs="Arial"/>
          <w:sz w:val="24"/>
          <w:szCs w:val="24"/>
          <w:lang w:val="es-ES"/>
        </w:rPr>
        <w:t>levantar</w:t>
      </w:r>
      <w:r w:rsidRPr="009863F2">
        <w:rPr>
          <w:rFonts w:ascii="Calibri Light" w:hAnsi="Calibri Light" w:cs="Arial"/>
          <w:sz w:val="24"/>
          <w:szCs w:val="24"/>
          <w:lang w:val="es-ES"/>
        </w:rPr>
        <w:t xml:space="preserve"> conjuntos habitacionales, junto con el otorgamiento de facilidades crediticias para el pago de los mismos. </w:t>
      </w:r>
    </w:p>
    <w:p w14:paraId="43BF12F1" w14:textId="77777777" w:rsidR="00277AE1" w:rsidRPr="009863F2" w:rsidRDefault="00277AE1" w:rsidP="009863F2">
      <w:pPr>
        <w:spacing w:after="0" w:line="240" w:lineRule="auto"/>
        <w:jc w:val="both"/>
        <w:rPr>
          <w:rFonts w:ascii="Calibri Light" w:hAnsi="Calibri Light" w:cs="Arial"/>
          <w:sz w:val="24"/>
          <w:szCs w:val="24"/>
          <w:lang w:val="es-ES"/>
        </w:rPr>
      </w:pPr>
    </w:p>
    <w:p w14:paraId="14467135" w14:textId="67E12CD9" w:rsidR="00BC6E70" w:rsidRPr="009863F2" w:rsidRDefault="00EE17B8"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
        </w:rPr>
        <w:t>Esta primera aproximación no ha podido alcanzar las expectativas previstas de reducción sostenible del déficit habitacional</w:t>
      </w:r>
      <w:r w:rsidR="009E4A4C" w:rsidRPr="009863F2">
        <w:rPr>
          <w:rFonts w:ascii="Calibri Light" w:hAnsi="Calibri Light" w:cs="Arial"/>
          <w:sz w:val="24"/>
          <w:szCs w:val="24"/>
          <w:lang w:val="es-ES"/>
        </w:rPr>
        <w:t xml:space="preserve">, </w:t>
      </w:r>
      <w:r w:rsidRPr="009863F2">
        <w:rPr>
          <w:rFonts w:ascii="Calibri Light" w:hAnsi="Calibri Light" w:cs="Arial"/>
          <w:sz w:val="24"/>
          <w:szCs w:val="24"/>
          <w:lang w:val="es-ES"/>
        </w:rPr>
        <w:t xml:space="preserve">debido a varios problemas, entre </w:t>
      </w:r>
      <w:r w:rsidR="009E4A4C" w:rsidRPr="009863F2">
        <w:rPr>
          <w:rFonts w:ascii="Calibri Light" w:hAnsi="Calibri Light" w:cs="Arial"/>
          <w:sz w:val="24"/>
          <w:szCs w:val="24"/>
          <w:lang w:val="es-ES"/>
        </w:rPr>
        <w:t>los cuales cabe mencionar</w:t>
      </w:r>
      <w:r w:rsidRPr="009863F2">
        <w:rPr>
          <w:rFonts w:ascii="Calibri Light" w:hAnsi="Calibri Light" w:cs="Arial"/>
          <w:sz w:val="24"/>
          <w:szCs w:val="24"/>
          <w:lang w:val="es-ES"/>
        </w:rPr>
        <w:t>:</w:t>
      </w:r>
      <w:r w:rsidR="00F23168" w:rsidRPr="009863F2">
        <w:rPr>
          <w:rFonts w:ascii="Calibri Light" w:hAnsi="Calibri Light" w:cs="Arial"/>
          <w:sz w:val="24"/>
          <w:szCs w:val="24"/>
          <w:lang w:val="es-ES"/>
        </w:rPr>
        <w:t xml:space="preserve"> i) </w:t>
      </w:r>
      <w:r w:rsidR="00F23168" w:rsidRPr="009863F2">
        <w:rPr>
          <w:rFonts w:ascii="Calibri Light" w:hAnsi="Calibri Light" w:cs="Arial"/>
          <w:sz w:val="24"/>
          <w:szCs w:val="24"/>
          <w:lang w:val="es-ES_tradnl"/>
        </w:rPr>
        <w:t>l</w:t>
      </w:r>
      <w:r w:rsidR="00BC6E70" w:rsidRPr="009863F2">
        <w:rPr>
          <w:rFonts w:ascii="Calibri Light" w:hAnsi="Calibri Light" w:cs="Arial"/>
          <w:sz w:val="24"/>
          <w:szCs w:val="24"/>
          <w:lang w:val="es-ES_tradnl"/>
        </w:rPr>
        <w:t>a falta de fondos públicos como resultado de las diversas crisis de la región</w:t>
      </w:r>
      <w:r w:rsidR="00F23168" w:rsidRPr="009863F2">
        <w:rPr>
          <w:rFonts w:ascii="Calibri Light" w:hAnsi="Calibri Light" w:cs="Arial"/>
          <w:sz w:val="24"/>
          <w:szCs w:val="24"/>
          <w:lang w:val="es-ES_tradnl"/>
        </w:rPr>
        <w:t xml:space="preserve">, ii) </w:t>
      </w:r>
      <w:r w:rsidR="00DA0334" w:rsidRPr="009863F2">
        <w:rPr>
          <w:rFonts w:ascii="Calibri Light" w:hAnsi="Calibri Light" w:cs="Arial"/>
          <w:sz w:val="24"/>
          <w:szCs w:val="24"/>
          <w:lang w:val="es-ES_tradnl"/>
        </w:rPr>
        <w:t>las dificultades</w:t>
      </w:r>
      <w:r w:rsidR="00BC6E70" w:rsidRPr="009863F2">
        <w:rPr>
          <w:rFonts w:ascii="Calibri Light" w:hAnsi="Calibri Light" w:cs="Arial"/>
          <w:sz w:val="24"/>
          <w:szCs w:val="24"/>
          <w:lang w:val="es-ES_tradnl"/>
        </w:rPr>
        <w:t xml:space="preserve"> de gestión propia</w:t>
      </w:r>
      <w:r w:rsidR="00DA0334" w:rsidRPr="009863F2">
        <w:rPr>
          <w:rFonts w:ascii="Calibri Light" w:hAnsi="Calibri Light" w:cs="Arial"/>
          <w:sz w:val="24"/>
          <w:szCs w:val="24"/>
          <w:lang w:val="es-ES_tradnl"/>
        </w:rPr>
        <w:t>s</w:t>
      </w:r>
      <w:r w:rsidR="00BC6E70" w:rsidRPr="009863F2">
        <w:rPr>
          <w:rFonts w:ascii="Calibri Light" w:hAnsi="Calibri Light" w:cs="Arial"/>
          <w:sz w:val="24"/>
          <w:szCs w:val="24"/>
          <w:lang w:val="es-ES_tradnl"/>
        </w:rPr>
        <w:t xml:space="preserve"> de </w:t>
      </w:r>
      <w:r w:rsidR="00F23168" w:rsidRPr="009863F2">
        <w:rPr>
          <w:rFonts w:ascii="Calibri Light" w:hAnsi="Calibri Light" w:cs="Arial"/>
          <w:sz w:val="24"/>
          <w:szCs w:val="24"/>
          <w:lang w:val="es-ES_tradnl"/>
        </w:rPr>
        <w:t>las entidades creadas par</w:t>
      </w:r>
      <w:r w:rsidR="00BC6E70" w:rsidRPr="009863F2">
        <w:rPr>
          <w:rFonts w:ascii="Calibri Light" w:hAnsi="Calibri Light" w:cs="Arial"/>
          <w:sz w:val="24"/>
          <w:szCs w:val="24"/>
          <w:lang w:val="es-ES_tradnl"/>
        </w:rPr>
        <w:t>a tal fin</w:t>
      </w:r>
      <w:r w:rsidR="00DA0334" w:rsidRPr="009863F2">
        <w:rPr>
          <w:rFonts w:ascii="Calibri Light" w:hAnsi="Calibri Light" w:cs="Arial"/>
          <w:sz w:val="24"/>
          <w:szCs w:val="24"/>
          <w:lang w:val="es-ES_tradnl"/>
        </w:rPr>
        <w:t>,</w:t>
      </w:r>
      <w:r w:rsidR="00F23168" w:rsidRPr="009863F2">
        <w:rPr>
          <w:rFonts w:ascii="Calibri Light" w:hAnsi="Calibri Light" w:cs="Arial"/>
          <w:sz w:val="24"/>
          <w:szCs w:val="24"/>
          <w:lang w:val="es-ES_tradnl"/>
        </w:rPr>
        <w:t xml:space="preserve"> y iii) e</w:t>
      </w:r>
      <w:r w:rsidR="00BC6E70" w:rsidRPr="009863F2">
        <w:rPr>
          <w:rFonts w:ascii="Calibri Light" w:hAnsi="Calibri Light" w:cs="Arial"/>
          <w:sz w:val="24"/>
          <w:szCs w:val="24"/>
          <w:lang w:val="es-ES_tradnl"/>
        </w:rPr>
        <w:t>l riesgo moral derivado de las asignaciones de viviendas y aprobaciones de proyectos por parte de las autoridades públicas con criterios mayormente políticos de corto plazo</w:t>
      </w:r>
      <w:r w:rsidR="00F23168"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desplazando a otros criterios con mayor énfasis en la solución de los problemas de la población </w:t>
      </w:r>
      <w:r w:rsidR="00F23168" w:rsidRPr="009863F2">
        <w:rPr>
          <w:rFonts w:ascii="Calibri Light" w:hAnsi="Calibri Light" w:cs="Arial"/>
          <w:sz w:val="24"/>
          <w:szCs w:val="24"/>
          <w:lang w:val="es-ES_tradnl"/>
        </w:rPr>
        <w:t>de menores recursos</w:t>
      </w:r>
      <w:r w:rsidR="00BC6E70" w:rsidRPr="009863F2">
        <w:rPr>
          <w:rFonts w:ascii="Calibri Light" w:hAnsi="Calibri Light" w:cs="Arial"/>
          <w:sz w:val="24"/>
          <w:szCs w:val="24"/>
          <w:lang w:val="es-ES_tradnl"/>
        </w:rPr>
        <w:t>.</w:t>
      </w:r>
    </w:p>
    <w:p w14:paraId="6D71C6EF" w14:textId="77777777" w:rsidR="00EE17B8" w:rsidRPr="009863F2" w:rsidRDefault="00EE17B8" w:rsidP="009863F2">
      <w:pPr>
        <w:spacing w:after="0" w:line="240" w:lineRule="auto"/>
        <w:jc w:val="both"/>
        <w:rPr>
          <w:rFonts w:ascii="Calibri Light" w:hAnsi="Calibri Light" w:cs="Arial"/>
          <w:sz w:val="24"/>
          <w:szCs w:val="24"/>
          <w:lang w:val="es-ES_tradnl"/>
        </w:rPr>
      </w:pPr>
    </w:p>
    <w:p w14:paraId="40E9A002" w14:textId="67D0AA07" w:rsidR="00BC6E70" w:rsidRPr="009863F2" w:rsidRDefault="00EE17B8"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
        </w:rPr>
        <w:t xml:space="preserve">En </w:t>
      </w:r>
      <w:r w:rsidR="000808A0" w:rsidRPr="009863F2">
        <w:rPr>
          <w:rFonts w:ascii="Calibri Light" w:hAnsi="Calibri Light" w:cs="Arial"/>
          <w:sz w:val="24"/>
          <w:szCs w:val="24"/>
          <w:lang w:val="es-ES"/>
        </w:rPr>
        <w:t xml:space="preserve">el caso de </w:t>
      </w:r>
      <w:r w:rsidR="007F5F97"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segund</w:t>
      </w:r>
      <w:r w:rsidR="007F5F97" w:rsidRPr="009863F2">
        <w:rPr>
          <w:rFonts w:ascii="Calibri Light" w:hAnsi="Calibri Light" w:cs="Arial"/>
          <w:sz w:val="24"/>
          <w:szCs w:val="24"/>
          <w:lang w:val="es-ES"/>
        </w:rPr>
        <w:t>a</w:t>
      </w:r>
      <w:r w:rsidR="00F23168" w:rsidRPr="009863F2">
        <w:rPr>
          <w:rFonts w:ascii="Calibri Light" w:hAnsi="Calibri Light" w:cs="Arial"/>
          <w:sz w:val="24"/>
          <w:szCs w:val="24"/>
          <w:lang w:val="es-ES"/>
        </w:rPr>
        <w:t xml:space="preserve"> </w:t>
      </w:r>
      <w:r w:rsidR="007F5F97" w:rsidRPr="009863F2">
        <w:rPr>
          <w:rFonts w:ascii="Calibri Light" w:hAnsi="Calibri Light" w:cs="Arial"/>
          <w:sz w:val="24"/>
          <w:szCs w:val="24"/>
          <w:lang w:val="es-ES"/>
        </w:rPr>
        <w:t>estrategia</w:t>
      </w:r>
      <w:r w:rsidRPr="009863F2">
        <w:rPr>
          <w:rFonts w:ascii="Calibri Light" w:hAnsi="Calibri Light" w:cs="Arial"/>
          <w:sz w:val="24"/>
          <w:szCs w:val="24"/>
          <w:lang w:val="es-ES"/>
        </w:rPr>
        <w:t xml:space="preserve">, </w:t>
      </w:r>
      <w:r w:rsidR="004A5178" w:rsidRPr="009863F2">
        <w:rPr>
          <w:rFonts w:ascii="Calibri Light" w:hAnsi="Calibri Light" w:cs="Arial"/>
          <w:sz w:val="24"/>
          <w:szCs w:val="24"/>
          <w:lang w:val="es-ES"/>
        </w:rPr>
        <w:t>que representa a la corriente adoptada por la mayoría de los países de la región</w:t>
      </w:r>
      <w:r w:rsidR="000808A0" w:rsidRPr="009863F2">
        <w:rPr>
          <w:rFonts w:ascii="Calibri Light" w:hAnsi="Calibri Light" w:cs="Arial"/>
          <w:sz w:val="24"/>
          <w:szCs w:val="24"/>
          <w:lang w:val="es-ES"/>
        </w:rPr>
        <w:t>,</w:t>
      </w:r>
      <w:r w:rsidR="004A5178" w:rsidRPr="009863F2">
        <w:rPr>
          <w:rStyle w:val="FootnoteReference"/>
          <w:rFonts w:ascii="Calibri Light" w:hAnsi="Calibri Light" w:cs="Arial"/>
          <w:sz w:val="24"/>
          <w:szCs w:val="24"/>
          <w:lang w:val="es-ES"/>
        </w:rPr>
        <w:footnoteReference w:id="3"/>
      </w:r>
      <w:r w:rsidR="004A5178" w:rsidRPr="009863F2">
        <w:rPr>
          <w:rFonts w:ascii="Calibri Light" w:hAnsi="Calibri Light" w:cs="Arial"/>
          <w:sz w:val="24"/>
          <w:szCs w:val="24"/>
          <w:lang w:val="es-ES"/>
        </w:rPr>
        <w:t xml:space="preserve"> </w:t>
      </w:r>
      <w:r w:rsidRPr="009863F2">
        <w:rPr>
          <w:rFonts w:ascii="Calibri Light" w:hAnsi="Calibri Light" w:cs="Arial"/>
          <w:sz w:val="24"/>
          <w:szCs w:val="24"/>
          <w:lang w:val="es-ES"/>
        </w:rPr>
        <w:t>el Estado ya no cumple un papel central en su instrumentación, sino que actúa como un facilitador para que el mercado resuelva el problema central identificado.</w:t>
      </w:r>
      <w:r w:rsidR="00F23168" w:rsidRPr="009863F2">
        <w:rPr>
          <w:rFonts w:ascii="Calibri Light" w:hAnsi="Calibri Light" w:cs="Arial"/>
          <w:sz w:val="24"/>
          <w:szCs w:val="24"/>
          <w:lang w:val="es-ES"/>
        </w:rPr>
        <w:t xml:space="preserve"> </w:t>
      </w:r>
      <w:r w:rsidRPr="009863F2">
        <w:rPr>
          <w:rFonts w:ascii="Calibri Light" w:hAnsi="Calibri Light" w:cs="Arial"/>
          <w:sz w:val="24"/>
          <w:szCs w:val="24"/>
          <w:lang w:val="es-ES"/>
        </w:rPr>
        <w:t>El modelo se basa en 3 pilares:</w:t>
      </w:r>
      <w:r w:rsidR="00F23168" w:rsidRPr="009863F2">
        <w:rPr>
          <w:rFonts w:ascii="Calibri Light" w:hAnsi="Calibri Light" w:cs="Arial"/>
          <w:sz w:val="24"/>
          <w:szCs w:val="24"/>
          <w:lang w:val="es-ES"/>
        </w:rPr>
        <w:t xml:space="preserve"> i) </w:t>
      </w:r>
      <w:r w:rsidR="00F23168" w:rsidRPr="009863F2">
        <w:rPr>
          <w:rFonts w:ascii="Calibri Light" w:hAnsi="Calibri Light" w:cs="Arial"/>
          <w:sz w:val="24"/>
          <w:szCs w:val="24"/>
          <w:lang w:val="es-ES_tradnl"/>
        </w:rPr>
        <w:t>e</w:t>
      </w:r>
      <w:r w:rsidR="00BC6E70" w:rsidRPr="009863F2">
        <w:rPr>
          <w:rFonts w:ascii="Calibri Light" w:hAnsi="Calibri Light" w:cs="Arial"/>
          <w:sz w:val="24"/>
          <w:szCs w:val="24"/>
          <w:lang w:val="es-ES_tradnl"/>
        </w:rPr>
        <w:t>l otorgamiento de subsidios a los beneficiarios finales (como un porcentaje importante del valor final de la vivienda)</w:t>
      </w:r>
      <w:r w:rsidR="00F23168" w:rsidRPr="009863F2">
        <w:rPr>
          <w:rFonts w:ascii="Calibri Light" w:hAnsi="Calibri Light" w:cs="Arial"/>
          <w:sz w:val="24"/>
          <w:szCs w:val="24"/>
          <w:lang w:val="es-ES_tradnl"/>
        </w:rPr>
        <w:t>; ii) l</w:t>
      </w:r>
      <w:r w:rsidR="00BC6E70" w:rsidRPr="009863F2">
        <w:rPr>
          <w:rFonts w:ascii="Calibri Light" w:hAnsi="Calibri Light" w:cs="Arial"/>
          <w:sz w:val="24"/>
          <w:szCs w:val="24"/>
          <w:lang w:val="es-ES_tradnl"/>
        </w:rPr>
        <w:t xml:space="preserve">a necesidad de </w:t>
      </w:r>
      <w:r w:rsidR="000808A0" w:rsidRPr="009863F2">
        <w:rPr>
          <w:rFonts w:ascii="Calibri Light" w:hAnsi="Calibri Light" w:cs="Arial"/>
          <w:sz w:val="24"/>
          <w:szCs w:val="24"/>
          <w:lang w:val="es-ES_tradnl"/>
        </w:rPr>
        <w:t>constituir</w:t>
      </w:r>
      <w:r w:rsidR="00BC6E70" w:rsidRPr="009863F2">
        <w:rPr>
          <w:rFonts w:ascii="Calibri Light" w:hAnsi="Calibri Light" w:cs="Arial"/>
          <w:sz w:val="24"/>
          <w:szCs w:val="24"/>
          <w:lang w:val="es-ES_tradnl"/>
        </w:rPr>
        <w:t xml:space="preserve"> un fondo de ahorro previo como incentivo adicional</w:t>
      </w:r>
      <w:r w:rsidR="000808A0" w:rsidRPr="009863F2">
        <w:rPr>
          <w:rFonts w:ascii="Calibri Light" w:hAnsi="Calibri Light" w:cs="Arial"/>
          <w:sz w:val="24"/>
          <w:szCs w:val="24"/>
          <w:lang w:val="es-ES_tradnl"/>
        </w:rPr>
        <w:t xml:space="preserve">, </w:t>
      </w:r>
      <w:r w:rsidR="00BC6E70" w:rsidRPr="009863F2">
        <w:rPr>
          <w:rFonts w:ascii="Calibri Light" w:hAnsi="Calibri Light" w:cs="Arial"/>
          <w:sz w:val="24"/>
          <w:szCs w:val="24"/>
          <w:lang w:val="es-ES_tradnl"/>
        </w:rPr>
        <w:t>y</w:t>
      </w:r>
      <w:r w:rsidR="00F23168" w:rsidRPr="009863F2">
        <w:rPr>
          <w:rFonts w:ascii="Calibri Light" w:hAnsi="Calibri Light" w:cs="Arial"/>
          <w:sz w:val="24"/>
          <w:szCs w:val="24"/>
          <w:lang w:val="es-ES_tradnl"/>
        </w:rPr>
        <w:t xml:space="preserve"> iii) e</w:t>
      </w:r>
      <w:r w:rsidR="00BC6E70" w:rsidRPr="009863F2">
        <w:rPr>
          <w:rFonts w:ascii="Calibri Light" w:hAnsi="Calibri Light" w:cs="Arial"/>
          <w:sz w:val="24"/>
          <w:szCs w:val="24"/>
          <w:lang w:val="es-ES_tradnl"/>
        </w:rPr>
        <w:t>l otorgamiento de crédito por parte del sistema financiero (con tasas subsidiadas o no por parte del Estado a través de sus instituciones financieras de segundo piso).</w:t>
      </w:r>
    </w:p>
    <w:p w14:paraId="5DAC36D4" w14:textId="77777777" w:rsidR="005539DF" w:rsidRPr="009863F2" w:rsidRDefault="005539DF" w:rsidP="009863F2">
      <w:pPr>
        <w:spacing w:after="0" w:line="240" w:lineRule="auto"/>
        <w:jc w:val="both"/>
        <w:rPr>
          <w:rFonts w:ascii="Calibri Light" w:hAnsi="Calibri Light" w:cs="Arial"/>
          <w:sz w:val="24"/>
          <w:szCs w:val="24"/>
          <w:lang w:val="es-ES_tradnl"/>
        </w:rPr>
      </w:pPr>
    </w:p>
    <w:p w14:paraId="029519DB" w14:textId="106AEAC8" w:rsidR="004A5178" w:rsidRPr="009863F2" w:rsidRDefault="00EE17B8"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Este </w:t>
      </w:r>
      <w:r w:rsidR="007F5F97" w:rsidRPr="009863F2">
        <w:rPr>
          <w:rFonts w:ascii="Calibri Light" w:hAnsi="Calibri Light" w:cs="Arial"/>
          <w:sz w:val="24"/>
          <w:szCs w:val="24"/>
          <w:lang w:val="es-ES_tradnl"/>
        </w:rPr>
        <w:t xml:space="preserve">segundo </w:t>
      </w:r>
      <w:r w:rsidRPr="009863F2">
        <w:rPr>
          <w:rFonts w:ascii="Calibri Light" w:hAnsi="Calibri Light" w:cs="Arial"/>
          <w:sz w:val="24"/>
          <w:szCs w:val="24"/>
          <w:lang w:val="es-ES_tradnl"/>
        </w:rPr>
        <w:t>modelo fomenta la aparición de un elemento clave</w:t>
      </w:r>
      <w:r w:rsidR="000808A0"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que es la figura del desarrollador/constructor</w:t>
      </w:r>
      <w:r w:rsidR="000808A0"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0808A0" w:rsidRPr="009863F2">
        <w:rPr>
          <w:rFonts w:ascii="Calibri Light" w:hAnsi="Calibri Light" w:cs="Arial"/>
          <w:sz w:val="24"/>
          <w:szCs w:val="24"/>
          <w:lang w:val="es-ES_tradnl"/>
        </w:rPr>
        <w:t>el cual</w:t>
      </w:r>
      <w:r w:rsidRPr="009863F2">
        <w:rPr>
          <w:rFonts w:ascii="Calibri Light" w:hAnsi="Calibri Light" w:cs="Arial"/>
          <w:sz w:val="24"/>
          <w:szCs w:val="24"/>
          <w:lang w:val="es-ES_tradnl"/>
        </w:rPr>
        <w:t xml:space="preserve"> empieza a cobrar un claro protagonismo a partir de la puesta en valor de un bien necesario para el desarrollo de proyectos: los terrenos</w:t>
      </w:r>
      <w:r w:rsidR="004A5178" w:rsidRPr="009863F2">
        <w:rPr>
          <w:rFonts w:ascii="Calibri Light" w:hAnsi="Calibri Light" w:cs="Arial"/>
          <w:sz w:val="24"/>
          <w:szCs w:val="24"/>
          <w:lang w:val="es-ES_tradnl"/>
        </w:rPr>
        <w:t xml:space="preserve"> y su valorización en función de su disponibilidad y </w:t>
      </w:r>
      <w:r w:rsidR="000808A0" w:rsidRPr="009863F2">
        <w:rPr>
          <w:rFonts w:ascii="Calibri Light" w:hAnsi="Calibri Light" w:cs="Arial"/>
          <w:sz w:val="24"/>
          <w:szCs w:val="24"/>
          <w:lang w:val="es-ES_tradnl"/>
        </w:rPr>
        <w:t xml:space="preserve">las </w:t>
      </w:r>
      <w:r w:rsidR="004A5178" w:rsidRPr="009863F2">
        <w:rPr>
          <w:rFonts w:ascii="Calibri Light" w:hAnsi="Calibri Light" w:cs="Arial"/>
          <w:sz w:val="24"/>
          <w:szCs w:val="24"/>
          <w:lang w:val="es-ES_tradnl"/>
        </w:rPr>
        <w:t>condiciones</w:t>
      </w:r>
      <w:r w:rsidR="00277AE1" w:rsidRPr="009863F2">
        <w:rPr>
          <w:rFonts w:ascii="Calibri Light" w:hAnsi="Calibri Light" w:cs="Arial"/>
          <w:sz w:val="24"/>
          <w:szCs w:val="24"/>
          <w:lang w:val="es-ES_tradnl"/>
        </w:rPr>
        <w:t xml:space="preserve"> de habitabilidad (servicios) y formalización</w:t>
      </w:r>
      <w:r w:rsidRPr="009863F2">
        <w:rPr>
          <w:rFonts w:ascii="Calibri Light" w:hAnsi="Calibri Light" w:cs="Arial"/>
          <w:sz w:val="24"/>
          <w:szCs w:val="24"/>
          <w:lang w:val="es-ES_tradnl"/>
        </w:rPr>
        <w:t>.</w:t>
      </w:r>
      <w:r w:rsidR="00F23168" w:rsidRPr="009863F2">
        <w:rPr>
          <w:rFonts w:ascii="Calibri Light" w:hAnsi="Calibri Light" w:cs="Arial"/>
          <w:sz w:val="24"/>
          <w:szCs w:val="24"/>
          <w:lang w:val="es-ES_tradnl"/>
        </w:rPr>
        <w:t xml:space="preserve"> </w:t>
      </w:r>
      <w:r w:rsidR="00277AE1" w:rsidRPr="009863F2">
        <w:rPr>
          <w:rFonts w:ascii="Calibri Light" w:hAnsi="Calibri Light" w:cs="Arial"/>
          <w:sz w:val="24"/>
          <w:szCs w:val="24"/>
          <w:lang w:val="es-ES_tradnl"/>
        </w:rPr>
        <w:t xml:space="preserve">Como segundo </w:t>
      </w:r>
      <w:r w:rsidR="004A5178" w:rsidRPr="009863F2">
        <w:rPr>
          <w:rFonts w:ascii="Calibri Light" w:hAnsi="Calibri Light" w:cs="Arial"/>
          <w:sz w:val="24"/>
          <w:szCs w:val="24"/>
          <w:lang w:val="es-ES_tradnl"/>
        </w:rPr>
        <w:t xml:space="preserve">componente para su instrumentación, </w:t>
      </w:r>
      <w:r w:rsidR="00277AE1" w:rsidRPr="009863F2">
        <w:rPr>
          <w:rFonts w:ascii="Calibri Light" w:hAnsi="Calibri Light" w:cs="Arial"/>
          <w:sz w:val="24"/>
          <w:szCs w:val="24"/>
          <w:lang w:val="es-ES_tradnl"/>
        </w:rPr>
        <w:t xml:space="preserve">aparece </w:t>
      </w:r>
      <w:r w:rsidR="004A5178" w:rsidRPr="009863F2">
        <w:rPr>
          <w:rFonts w:ascii="Calibri Light" w:hAnsi="Calibri Light" w:cs="Arial"/>
          <w:sz w:val="24"/>
          <w:szCs w:val="24"/>
          <w:lang w:val="es-ES_tradnl"/>
        </w:rPr>
        <w:t xml:space="preserve">la necesidad y </w:t>
      </w:r>
      <w:r w:rsidR="002F62C5" w:rsidRPr="009863F2">
        <w:rPr>
          <w:rFonts w:ascii="Calibri Light" w:hAnsi="Calibri Light" w:cs="Arial"/>
          <w:sz w:val="24"/>
          <w:szCs w:val="24"/>
          <w:lang w:val="es-ES_tradnl"/>
        </w:rPr>
        <w:t xml:space="preserve">la </w:t>
      </w:r>
      <w:r w:rsidR="004A5178" w:rsidRPr="009863F2">
        <w:rPr>
          <w:rFonts w:ascii="Calibri Light" w:hAnsi="Calibri Light" w:cs="Arial"/>
          <w:sz w:val="24"/>
          <w:szCs w:val="24"/>
          <w:lang w:val="es-ES_tradnl"/>
        </w:rPr>
        <w:t xml:space="preserve">posibilidad </w:t>
      </w:r>
      <w:r w:rsidR="000808A0" w:rsidRPr="009863F2">
        <w:rPr>
          <w:rFonts w:ascii="Calibri Light" w:hAnsi="Calibri Light" w:cs="Arial"/>
          <w:sz w:val="24"/>
          <w:szCs w:val="24"/>
          <w:lang w:val="es-ES_tradnl"/>
        </w:rPr>
        <w:t xml:space="preserve">de </w:t>
      </w:r>
      <w:r w:rsidR="004A5178" w:rsidRPr="009863F2">
        <w:rPr>
          <w:rFonts w:ascii="Calibri Light" w:hAnsi="Calibri Light" w:cs="Arial"/>
          <w:sz w:val="24"/>
          <w:szCs w:val="24"/>
          <w:lang w:val="es-ES_tradnl"/>
        </w:rPr>
        <w:t>que los beneficiarios finales puedan justificar su nivel de ingresos para poder solicitar un crédito en el sistema financiero.</w:t>
      </w:r>
      <w:r w:rsidR="002F62C5" w:rsidRPr="009863F2">
        <w:rPr>
          <w:rFonts w:ascii="Calibri Light" w:hAnsi="Calibri Light" w:cs="Arial"/>
          <w:sz w:val="24"/>
          <w:szCs w:val="24"/>
          <w:lang w:val="es-ES_tradnl"/>
        </w:rPr>
        <w:t xml:space="preserve"> </w:t>
      </w:r>
      <w:r w:rsidR="004A5178" w:rsidRPr="009863F2">
        <w:rPr>
          <w:rFonts w:ascii="Calibri Light" w:hAnsi="Calibri Light" w:cs="Arial"/>
          <w:sz w:val="24"/>
          <w:szCs w:val="24"/>
          <w:lang w:val="es-ES_tradnl"/>
        </w:rPr>
        <w:t>Por último, la capacidad de ahorro en muchos de los países de la región se ve restringida por la volatilidad de los ciclos económicos y</w:t>
      </w:r>
      <w:r w:rsidR="000808A0" w:rsidRPr="009863F2">
        <w:rPr>
          <w:rFonts w:ascii="Calibri Light" w:hAnsi="Calibri Light" w:cs="Arial"/>
          <w:sz w:val="24"/>
          <w:szCs w:val="24"/>
          <w:lang w:val="es-ES_tradnl"/>
        </w:rPr>
        <w:t>, asimismo,</w:t>
      </w:r>
      <w:r w:rsidR="004A5178" w:rsidRPr="009863F2">
        <w:rPr>
          <w:rFonts w:ascii="Calibri Light" w:hAnsi="Calibri Light" w:cs="Arial"/>
          <w:sz w:val="24"/>
          <w:szCs w:val="24"/>
          <w:lang w:val="es-ES_tradnl"/>
        </w:rPr>
        <w:t xml:space="preserve"> </w:t>
      </w:r>
      <w:r w:rsidR="000808A0" w:rsidRPr="009863F2">
        <w:rPr>
          <w:rFonts w:ascii="Calibri Light" w:hAnsi="Calibri Light" w:cs="Arial"/>
          <w:sz w:val="24"/>
          <w:szCs w:val="24"/>
          <w:lang w:val="es-ES_tradnl"/>
        </w:rPr>
        <w:t>–</w:t>
      </w:r>
      <w:r w:rsidR="004A5178" w:rsidRPr="009863F2">
        <w:rPr>
          <w:rFonts w:ascii="Calibri Light" w:hAnsi="Calibri Light" w:cs="Arial"/>
          <w:sz w:val="24"/>
          <w:szCs w:val="24"/>
          <w:lang w:val="es-ES_tradnl"/>
        </w:rPr>
        <w:t>si bien se ha avanzado bastante en este aspecto</w:t>
      </w:r>
      <w:r w:rsidR="000808A0" w:rsidRPr="009863F2">
        <w:rPr>
          <w:rFonts w:ascii="Calibri Light" w:hAnsi="Calibri Light" w:cs="Arial"/>
          <w:sz w:val="24"/>
          <w:szCs w:val="24"/>
          <w:lang w:val="es-ES_tradnl"/>
        </w:rPr>
        <w:t>–</w:t>
      </w:r>
      <w:r w:rsidR="004A5178" w:rsidRPr="009863F2">
        <w:rPr>
          <w:rFonts w:ascii="Calibri Light" w:hAnsi="Calibri Light" w:cs="Arial"/>
          <w:sz w:val="24"/>
          <w:szCs w:val="24"/>
          <w:lang w:val="es-ES_tradnl"/>
        </w:rPr>
        <w:t xml:space="preserve"> de las condiciones de desarrollo de los modelos de inclusión financiera de cada país</w:t>
      </w:r>
      <w:r w:rsidR="000808A0" w:rsidRPr="009863F2">
        <w:rPr>
          <w:rFonts w:ascii="Calibri Light" w:hAnsi="Calibri Light" w:cs="Arial"/>
          <w:sz w:val="24"/>
          <w:szCs w:val="24"/>
          <w:lang w:val="es-ES_tradnl"/>
        </w:rPr>
        <w:t>, lo</w:t>
      </w:r>
      <w:r w:rsidR="004A5178" w:rsidRPr="009863F2">
        <w:rPr>
          <w:rFonts w:ascii="Calibri Light" w:hAnsi="Calibri Light" w:cs="Arial"/>
          <w:sz w:val="24"/>
          <w:szCs w:val="24"/>
          <w:lang w:val="es-ES_tradnl"/>
        </w:rPr>
        <w:t xml:space="preserve"> que define, más allá de la capacidad, la forma en que este ahorro se materializa.</w:t>
      </w:r>
      <w:r w:rsidR="001E7610" w:rsidRPr="009863F2">
        <w:rPr>
          <w:rFonts w:ascii="Calibri Light" w:hAnsi="Calibri Light" w:cs="Arial"/>
          <w:sz w:val="24"/>
          <w:szCs w:val="24"/>
          <w:lang w:val="es-ES_tradnl"/>
        </w:rPr>
        <w:t xml:space="preserve"> </w:t>
      </w:r>
      <w:r w:rsidR="004A5178" w:rsidRPr="009863F2">
        <w:rPr>
          <w:rFonts w:ascii="Calibri Light" w:hAnsi="Calibri Light" w:cs="Arial"/>
          <w:sz w:val="24"/>
          <w:szCs w:val="24"/>
          <w:lang w:val="es-ES_tradnl"/>
        </w:rPr>
        <w:t xml:space="preserve">En todos los casos, es la capacidad y voluntad de </w:t>
      </w:r>
      <w:r w:rsidR="000808A0" w:rsidRPr="009863F2">
        <w:rPr>
          <w:rFonts w:ascii="Calibri Light" w:hAnsi="Calibri Light" w:cs="Arial"/>
          <w:sz w:val="24"/>
          <w:szCs w:val="24"/>
          <w:lang w:val="es-ES_tradnl"/>
        </w:rPr>
        <w:t xml:space="preserve">financiamiento </w:t>
      </w:r>
      <w:r w:rsidR="004A5178" w:rsidRPr="009863F2">
        <w:rPr>
          <w:rFonts w:ascii="Calibri Light" w:hAnsi="Calibri Light" w:cs="Arial"/>
          <w:sz w:val="24"/>
          <w:szCs w:val="24"/>
          <w:lang w:val="es-ES_tradnl"/>
        </w:rPr>
        <w:t xml:space="preserve">a largo plazo la llave que permite desarrollar el mercado de vivienda en general y con foco en la base de la pirámide en particular. </w:t>
      </w:r>
      <w:r w:rsidR="004A5178" w:rsidRPr="009863F2">
        <w:rPr>
          <w:rFonts w:ascii="Calibri Light" w:hAnsi="Calibri Light" w:cs="Arial"/>
          <w:sz w:val="24"/>
          <w:szCs w:val="24"/>
          <w:lang w:val="es-ES_tradnl"/>
        </w:rPr>
        <w:lastRenderedPageBreak/>
        <w:t>En este sentido, definir los elementos que lo componen, se vuelve esencial para una adecuada respuesta al desarrollo y la existencia del espacio para intervención.</w:t>
      </w:r>
    </w:p>
    <w:p w14:paraId="1E130AFE" w14:textId="77777777" w:rsidR="001E7610" w:rsidRPr="009863F2" w:rsidRDefault="001E7610" w:rsidP="009863F2">
      <w:pPr>
        <w:spacing w:after="0" w:line="240" w:lineRule="auto"/>
        <w:jc w:val="both"/>
        <w:rPr>
          <w:rFonts w:ascii="Calibri Light" w:hAnsi="Calibri Light" w:cs="Arial"/>
          <w:sz w:val="24"/>
          <w:szCs w:val="24"/>
          <w:lang w:val="es-ES_tradnl"/>
        </w:rPr>
      </w:pPr>
    </w:p>
    <w:p w14:paraId="7D56E2E4" w14:textId="5BEC8ED0" w:rsidR="005539DF" w:rsidRPr="009863F2" w:rsidRDefault="000808A0" w:rsidP="009863F2">
      <w:pPr>
        <w:pStyle w:val="Heading2"/>
        <w:numPr>
          <w:ilvl w:val="1"/>
          <w:numId w:val="1"/>
        </w:numPr>
        <w:spacing w:before="0" w:line="240" w:lineRule="auto"/>
        <w:rPr>
          <w:rFonts w:ascii="Calibri Light" w:hAnsi="Calibri Light" w:cs="Arial"/>
          <w:szCs w:val="24"/>
          <w:lang w:val="es-ES_tradnl"/>
        </w:rPr>
      </w:pPr>
      <w:bookmarkStart w:id="5" w:name="_Toc504406831"/>
      <w:r w:rsidRPr="009863F2">
        <w:rPr>
          <w:rFonts w:ascii="Calibri Light" w:hAnsi="Calibri Light" w:cs="Arial"/>
          <w:szCs w:val="24"/>
          <w:lang w:val="es-ES_tradnl"/>
        </w:rPr>
        <w:t>E</w:t>
      </w:r>
      <w:r w:rsidR="005539DF" w:rsidRPr="009863F2">
        <w:rPr>
          <w:rFonts w:ascii="Calibri Light" w:hAnsi="Calibri Light" w:cs="Arial"/>
          <w:szCs w:val="24"/>
          <w:lang w:val="es-ES_tradnl"/>
        </w:rPr>
        <w:t xml:space="preserve">lementos a tener en cuenta en </w:t>
      </w:r>
      <w:r w:rsidR="00CB3D5A" w:rsidRPr="009863F2">
        <w:rPr>
          <w:rFonts w:ascii="Calibri Light" w:hAnsi="Calibri Light" w:cs="Arial"/>
          <w:szCs w:val="24"/>
          <w:lang w:val="es-ES_tradnl"/>
        </w:rPr>
        <w:t>la construcción</w:t>
      </w:r>
      <w:r w:rsidR="005539DF" w:rsidRPr="009863F2">
        <w:rPr>
          <w:rFonts w:ascii="Calibri Light" w:hAnsi="Calibri Light" w:cs="Arial"/>
          <w:szCs w:val="24"/>
          <w:lang w:val="es-ES_tradnl"/>
        </w:rPr>
        <w:t xml:space="preserve"> de un </w:t>
      </w:r>
      <w:r w:rsidR="00CB3D5A" w:rsidRPr="009863F2">
        <w:rPr>
          <w:rFonts w:ascii="Calibri Light" w:hAnsi="Calibri Light" w:cs="Arial"/>
          <w:szCs w:val="24"/>
          <w:lang w:val="es-ES_tradnl"/>
        </w:rPr>
        <w:t xml:space="preserve">adecuado </w:t>
      </w:r>
      <w:r w:rsidR="005539DF" w:rsidRPr="009863F2">
        <w:rPr>
          <w:rFonts w:ascii="Calibri Light" w:hAnsi="Calibri Light" w:cs="Arial"/>
          <w:szCs w:val="24"/>
          <w:lang w:val="es-ES_tradnl"/>
        </w:rPr>
        <w:t xml:space="preserve">sistema de financiamiento </w:t>
      </w:r>
      <w:r w:rsidRPr="009863F2">
        <w:rPr>
          <w:rFonts w:ascii="Calibri Light" w:hAnsi="Calibri Light" w:cs="Arial"/>
          <w:szCs w:val="24"/>
          <w:lang w:val="es-ES_tradnl"/>
        </w:rPr>
        <w:t>par</w:t>
      </w:r>
      <w:r w:rsidR="005539DF" w:rsidRPr="009863F2">
        <w:rPr>
          <w:rFonts w:ascii="Calibri Light" w:hAnsi="Calibri Light" w:cs="Arial"/>
          <w:szCs w:val="24"/>
          <w:lang w:val="es-ES_tradnl"/>
        </w:rPr>
        <w:t>a la vivienda</w:t>
      </w:r>
      <w:bookmarkEnd w:id="5"/>
    </w:p>
    <w:p w14:paraId="094B32FA" w14:textId="77777777" w:rsidR="005539DF" w:rsidRPr="009863F2" w:rsidRDefault="005539DF" w:rsidP="009863F2">
      <w:pPr>
        <w:spacing w:after="0" w:line="240" w:lineRule="auto"/>
        <w:jc w:val="both"/>
        <w:rPr>
          <w:rFonts w:ascii="Calibri Light" w:hAnsi="Calibri Light" w:cs="Arial"/>
          <w:sz w:val="24"/>
          <w:szCs w:val="24"/>
          <w:lang w:val="es-ES"/>
        </w:rPr>
      </w:pPr>
    </w:p>
    <w:p w14:paraId="24EF54E6" w14:textId="726578DC" w:rsidR="00E42E1D" w:rsidRPr="009863F2" w:rsidRDefault="00EA1C1A"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Desde la óptica de </w:t>
      </w:r>
      <w:r w:rsidR="00E02753" w:rsidRPr="009863F2">
        <w:rPr>
          <w:rFonts w:ascii="Calibri Light" w:hAnsi="Calibri Light" w:cs="Arial"/>
          <w:sz w:val="24"/>
          <w:szCs w:val="24"/>
          <w:lang w:val="es-ES_tradnl"/>
        </w:rPr>
        <w:t xml:space="preserve">las instituciones financieras </w:t>
      </w:r>
      <w:r w:rsidRPr="009863F2">
        <w:rPr>
          <w:rFonts w:ascii="Calibri Light" w:hAnsi="Calibri Light" w:cs="Arial"/>
          <w:sz w:val="24"/>
          <w:szCs w:val="24"/>
          <w:lang w:val="es-ES_tradnl"/>
        </w:rPr>
        <w:t>(IF)</w:t>
      </w:r>
      <w:r w:rsidR="002F62C5"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asignar una cantidad de fondos en el tiempo</w:t>
      </w:r>
      <w:r w:rsidR="002F62C5" w:rsidRPr="009863F2">
        <w:rPr>
          <w:rFonts w:ascii="Calibri Light" w:hAnsi="Calibri Light" w:cs="Arial"/>
          <w:sz w:val="24"/>
          <w:szCs w:val="24"/>
          <w:lang w:val="es-ES_tradnl"/>
        </w:rPr>
        <w:t xml:space="preserve">, sobre todo en el </w:t>
      </w:r>
      <w:r w:rsidRPr="009863F2">
        <w:rPr>
          <w:rFonts w:ascii="Calibri Light" w:hAnsi="Calibri Light" w:cs="Arial"/>
          <w:sz w:val="24"/>
          <w:szCs w:val="24"/>
          <w:lang w:val="es-ES_tradnl"/>
        </w:rPr>
        <w:t>largo plazo</w:t>
      </w:r>
      <w:r w:rsidR="00E02753"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requiere </w:t>
      </w:r>
      <w:r w:rsidR="000808A0" w:rsidRPr="009863F2">
        <w:rPr>
          <w:rFonts w:ascii="Calibri Light" w:hAnsi="Calibri Light" w:cs="Arial"/>
          <w:sz w:val="24"/>
          <w:szCs w:val="24"/>
          <w:lang w:val="es-ES_tradnl"/>
        </w:rPr>
        <w:t>contar</w:t>
      </w:r>
      <w:r w:rsidRPr="009863F2">
        <w:rPr>
          <w:rFonts w:ascii="Calibri Light" w:hAnsi="Calibri Light" w:cs="Arial"/>
          <w:sz w:val="24"/>
          <w:szCs w:val="24"/>
          <w:lang w:val="es-ES_tradnl"/>
        </w:rPr>
        <w:t xml:space="preserve"> con determinadas condiciones que </w:t>
      </w:r>
      <w:r w:rsidR="000808A0" w:rsidRPr="009863F2">
        <w:rPr>
          <w:rFonts w:ascii="Calibri Light" w:hAnsi="Calibri Light" w:cs="Arial"/>
          <w:sz w:val="24"/>
          <w:szCs w:val="24"/>
          <w:lang w:val="es-ES_tradnl"/>
        </w:rPr>
        <w:t xml:space="preserve">hagan viable </w:t>
      </w:r>
      <w:r w:rsidRPr="009863F2">
        <w:rPr>
          <w:rFonts w:ascii="Calibri Light" w:hAnsi="Calibri Light" w:cs="Arial"/>
          <w:sz w:val="24"/>
          <w:szCs w:val="24"/>
          <w:lang w:val="es-ES_tradnl"/>
        </w:rPr>
        <w:t>esta decisión</w:t>
      </w:r>
      <w:r w:rsidR="002F62C5" w:rsidRPr="009863F2">
        <w:rPr>
          <w:rFonts w:ascii="Calibri Light" w:hAnsi="Calibri Light" w:cs="Arial"/>
          <w:sz w:val="24"/>
          <w:szCs w:val="24"/>
          <w:lang w:val="es-ES_tradnl"/>
        </w:rPr>
        <w:t>, tales como</w:t>
      </w:r>
      <w:r w:rsidRPr="009863F2">
        <w:rPr>
          <w:rFonts w:ascii="Calibri Light" w:hAnsi="Calibri Light" w:cs="Arial"/>
          <w:sz w:val="24"/>
          <w:szCs w:val="24"/>
          <w:lang w:val="es-ES_tradnl"/>
        </w:rPr>
        <w:t>:</w:t>
      </w:r>
      <w:r w:rsidR="002F62C5" w:rsidRPr="009863F2">
        <w:rPr>
          <w:rFonts w:ascii="Calibri Light" w:hAnsi="Calibri Light" w:cs="Arial"/>
          <w:sz w:val="24"/>
          <w:szCs w:val="24"/>
          <w:lang w:val="es-ES_tradnl"/>
        </w:rPr>
        <w:t xml:space="preserve"> i) </w:t>
      </w:r>
      <w:r w:rsidRPr="009863F2">
        <w:rPr>
          <w:rFonts w:ascii="Calibri Light" w:hAnsi="Calibri Light" w:cs="Arial"/>
          <w:sz w:val="24"/>
          <w:szCs w:val="24"/>
          <w:lang w:val="es-ES_tradnl"/>
        </w:rPr>
        <w:t>información sobre el prestatario (</w:t>
      </w:r>
      <w:r w:rsidR="000808A0" w:rsidRPr="009863F2">
        <w:rPr>
          <w:rFonts w:ascii="Calibri Light" w:hAnsi="Calibri Light" w:cs="Arial"/>
          <w:sz w:val="24"/>
          <w:szCs w:val="24"/>
          <w:lang w:val="es-ES_tradnl"/>
        </w:rPr>
        <w:t>de modo de definir</w:t>
      </w:r>
      <w:r w:rsidRPr="009863F2">
        <w:rPr>
          <w:rFonts w:ascii="Calibri Light" w:hAnsi="Calibri Light" w:cs="Arial"/>
          <w:sz w:val="24"/>
          <w:szCs w:val="24"/>
          <w:lang w:val="es-ES_tradnl"/>
        </w:rPr>
        <w:t xml:space="preserve"> el riesgo de crédito); </w:t>
      </w:r>
      <w:r w:rsidR="002F62C5" w:rsidRPr="009863F2">
        <w:rPr>
          <w:rFonts w:ascii="Calibri Light" w:hAnsi="Calibri Light" w:cs="Arial"/>
          <w:sz w:val="24"/>
          <w:szCs w:val="24"/>
          <w:lang w:val="es-ES_tradnl"/>
        </w:rPr>
        <w:t xml:space="preserve">ii) </w:t>
      </w:r>
      <w:r w:rsidRPr="009863F2">
        <w:rPr>
          <w:rFonts w:ascii="Calibri Light" w:hAnsi="Calibri Light" w:cs="Arial"/>
          <w:sz w:val="24"/>
          <w:szCs w:val="24"/>
          <w:lang w:val="es-ES_tradnl"/>
        </w:rPr>
        <w:t>información sobre el bien dado en colateral (es decir, la vivienda)</w:t>
      </w:r>
      <w:r w:rsidR="00E02753"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E02753" w:rsidRPr="009863F2">
        <w:rPr>
          <w:rFonts w:ascii="Calibri Light" w:hAnsi="Calibri Light" w:cs="Arial"/>
          <w:sz w:val="24"/>
          <w:szCs w:val="24"/>
          <w:lang w:val="es-ES_tradnl"/>
        </w:rPr>
        <w:t xml:space="preserve">para lo que </w:t>
      </w:r>
      <w:r w:rsidRPr="009863F2">
        <w:rPr>
          <w:rFonts w:ascii="Calibri Light" w:hAnsi="Calibri Light" w:cs="Arial"/>
          <w:sz w:val="24"/>
          <w:szCs w:val="24"/>
          <w:lang w:val="es-ES_tradnl"/>
        </w:rPr>
        <w:t xml:space="preserve">se requiere que el mismo tenga características formales que así lo definan (entre ellas, su registro catastral claro e inequívoco); </w:t>
      </w:r>
      <w:r w:rsidR="002F62C5" w:rsidRPr="009863F2">
        <w:rPr>
          <w:rFonts w:ascii="Calibri Light" w:hAnsi="Calibri Light" w:cs="Arial"/>
          <w:sz w:val="24"/>
          <w:szCs w:val="24"/>
          <w:lang w:val="es-ES_tradnl"/>
        </w:rPr>
        <w:t xml:space="preserve">iii) </w:t>
      </w:r>
      <w:r w:rsidRPr="009863F2">
        <w:rPr>
          <w:rFonts w:ascii="Calibri Light" w:hAnsi="Calibri Light" w:cs="Arial"/>
          <w:sz w:val="24"/>
          <w:szCs w:val="24"/>
          <w:lang w:val="es-ES_tradnl"/>
        </w:rPr>
        <w:t>la capacidad de formalizar la garantía tomando a este colateral u otros en su reemplazo</w:t>
      </w:r>
      <w:r w:rsidR="000808A0"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w:t>
      </w:r>
      <w:r w:rsidR="002F62C5" w:rsidRPr="009863F2">
        <w:rPr>
          <w:rFonts w:ascii="Calibri Light" w:hAnsi="Calibri Light" w:cs="Arial"/>
          <w:sz w:val="24"/>
          <w:szCs w:val="24"/>
          <w:lang w:val="es-ES_tradnl"/>
        </w:rPr>
        <w:t xml:space="preserve">iv) </w:t>
      </w:r>
      <w:r w:rsidR="00EE17B8" w:rsidRPr="009863F2">
        <w:rPr>
          <w:rFonts w:ascii="Calibri Light" w:hAnsi="Calibri Light" w:cs="Arial"/>
          <w:sz w:val="24"/>
          <w:szCs w:val="24"/>
          <w:lang w:val="es-ES_tradnl"/>
        </w:rPr>
        <w:t>l</w:t>
      </w:r>
      <w:r w:rsidR="00633907" w:rsidRPr="009863F2">
        <w:rPr>
          <w:rFonts w:ascii="Calibri Light" w:hAnsi="Calibri Light" w:cs="Arial"/>
          <w:sz w:val="24"/>
          <w:szCs w:val="24"/>
          <w:lang w:val="es-ES_tradnl"/>
        </w:rPr>
        <w:t>as condiciones macroeconómicas que posibiliten una reducción de la volatilidad tanto de las tasas de interés como del tipo de cambio (</w:t>
      </w:r>
      <w:r w:rsidR="000808A0" w:rsidRPr="009863F2">
        <w:rPr>
          <w:rFonts w:ascii="Calibri Light" w:hAnsi="Calibri Light" w:cs="Arial"/>
          <w:sz w:val="24"/>
          <w:szCs w:val="24"/>
          <w:lang w:val="es-ES_tradnl"/>
        </w:rPr>
        <w:t xml:space="preserve">de acuerdo con </w:t>
      </w:r>
      <w:r w:rsidR="00633907" w:rsidRPr="009863F2">
        <w:rPr>
          <w:rFonts w:ascii="Calibri Light" w:hAnsi="Calibri Light" w:cs="Arial"/>
          <w:sz w:val="24"/>
          <w:szCs w:val="24"/>
          <w:lang w:val="es-ES_tradnl"/>
        </w:rPr>
        <w:t xml:space="preserve">el tipo de </w:t>
      </w:r>
      <w:r w:rsidR="000808A0" w:rsidRPr="009863F2">
        <w:rPr>
          <w:rFonts w:ascii="Calibri Light" w:hAnsi="Calibri Light" w:cs="Arial"/>
          <w:sz w:val="24"/>
          <w:szCs w:val="24"/>
          <w:lang w:val="es-ES_tradnl"/>
        </w:rPr>
        <w:t>financiamiento</w:t>
      </w:r>
      <w:r w:rsidR="00633907" w:rsidRPr="009863F2">
        <w:rPr>
          <w:rFonts w:ascii="Calibri Light" w:hAnsi="Calibri Light" w:cs="Arial"/>
          <w:sz w:val="24"/>
          <w:szCs w:val="24"/>
          <w:lang w:val="es-ES_tradnl"/>
        </w:rPr>
        <w:t>) que podrían afectar al flujo de fondos del prestatario.</w:t>
      </w:r>
    </w:p>
    <w:p w14:paraId="0C98B840" w14:textId="77777777" w:rsidR="00093B8E" w:rsidRPr="009863F2" w:rsidRDefault="00093B8E" w:rsidP="009863F2">
      <w:pPr>
        <w:spacing w:after="0" w:line="240" w:lineRule="auto"/>
        <w:jc w:val="both"/>
        <w:rPr>
          <w:rFonts w:ascii="Calibri Light" w:hAnsi="Calibri Light" w:cs="Arial"/>
          <w:sz w:val="24"/>
          <w:szCs w:val="24"/>
          <w:lang w:val="es-ES_tradnl"/>
        </w:rPr>
      </w:pPr>
    </w:p>
    <w:p w14:paraId="59E127AB" w14:textId="6A05871C" w:rsidR="00093B8E" w:rsidRPr="009863F2" w:rsidRDefault="00093B8E"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Otro de los temas que aportan a la construcción de un sistema </w:t>
      </w:r>
      <w:r w:rsidR="00E02753" w:rsidRPr="009863F2">
        <w:rPr>
          <w:rFonts w:ascii="Calibri Light" w:hAnsi="Calibri Light" w:cs="Arial"/>
          <w:sz w:val="24"/>
          <w:szCs w:val="24"/>
          <w:lang w:val="es-ES_tradnl"/>
        </w:rPr>
        <w:t xml:space="preserve">de financiamiento </w:t>
      </w:r>
      <w:r w:rsidRPr="009863F2">
        <w:rPr>
          <w:rFonts w:ascii="Calibri Light" w:hAnsi="Calibri Light" w:cs="Arial"/>
          <w:sz w:val="24"/>
          <w:szCs w:val="24"/>
          <w:lang w:val="es-ES_tradnl"/>
        </w:rPr>
        <w:t xml:space="preserve">orientado a la vivienda tiene que ver con </w:t>
      </w:r>
      <w:r w:rsidR="00B7534B" w:rsidRPr="009863F2">
        <w:rPr>
          <w:rFonts w:ascii="Calibri Light" w:hAnsi="Calibri Light" w:cs="Arial"/>
          <w:sz w:val="24"/>
          <w:szCs w:val="24"/>
          <w:lang w:val="es-ES_tradnl"/>
        </w:rPr>
        <w:t>incluir</w:t>
      </w:r>
      <w:r w:rsidRPr="009863F2">
        <w:rPr>
          <w:rFonts w:ascii="Calibri Light" w:hAnsi="Calibri Light" w:cs="Arial"/>
          <w:sz w:val="24"/>
          <w:szCs w:val="24"/>
          <w:lang w:val="es-ES_tradnl"/>
        </w:rPr>
        <w:t xml:space="preserve"> una definición más amplia de la propiedad de la misma en función de la propia movilidad que las nuevas corrientes migratorias demandan</w:t>
      </w:r>
      <w:r w:rsidR="00E02753"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rural</w:t>
      </w:r>
      <w:r w:rsidR="00E02753" w:rsidRPr="009863F2">
        <w:rPr>
          <w:rFonts w:ascii="Calibri Light" w:hAnsi="Calibri Light" w:cs="Arial"/>
          <w:sz w:val="24"/>
          <w:szCs w:val="24"/>
          <w:lang w:val="es-ES_tradnl"/>
        </w:rPr>
        <w:t xml:space="preserve"> a </w:t>
      </w:r>
      <w:r w:rsidRPr="009863F2">
        <w:rPr>
          <w:rFonts w:ascii="Calibri Light" w:hAnsi="Calibri Light" w:cs="Arial"/>
          <w:sz w:val="24"/>
          <w:szCs w:val="24"/>
          <w:lang w:val="es-ES_tradnl"/>
        </w:rPr>
        <w:t>ciudad en regiones, ciudad (regiones) a ciudad (capital)</w:t>
      </w:r>
      <w:r w:rsidR="00E02753"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ciudad</w:t>
      </w:r>
      <w:r w:rsidR="00E02753" w:rsidRPr="009863F2">
        <w:rPr>
          <w:rFonts w:ascii="Calibri Light" w:hAnsi="Calibri Light" w:cs="Arial"/>
          <w:sz w:val="24"/>
          <w:szCs w:val="24"/>
          <w:lang w:val="es-ES_tradnl"/>
        </w:rPr>
        <w:t xml:space="preserve"> a </w:t>
      </w:r>
      <w:r w:rsidRPr="009863F2">
        <w:rPr>
          <w:rFonts w:ascii="Calibri Light" w:hAnsi="Calibri Light" w:cs="Arial"/>
          <w:sz w:val="24"/>
          <w:szCs w:val="24"/>
          <w:lang w:val="es-ES_tradnl"/>
        </w:rPr>
        <w:t xml:space="preserve">ciudad </w:t>
      </w:r>
      <w:r w:rsidR="00E02753" w:rsidRPr="009863F2">
        <w:rPr>
          <w:rFonts w:ascii="Calibri Light" w:hAnsi="Calibri Light" w:cs="Arial"/>
          <w:sz w:val="24"/>
          <w:szCs w:val="24"/>
          <w:lang w:val="es-ES_tradnl"/>
        </w:rPr>
        <w:t>(</w:t>
      </w:r>
      <w:r w:rsidRPr="009863F2">
        <w:rPr>
          <w:rFonts w:ascii="Calibri Light" w:hAnsi="Calibri Light" w:cs="Arial"/>
          <w:sz w:val="24"/>
          <w:szCs w:val="24"/>
          <w:lang w:val="es-ES_tradnl"/>
        </w:rPr>
        <w:t>intra</w:t>
      </w:r>
      <w:r w:rsidR="00FA5207" w:rsidRPr="009863F2">
        <w:rPr>
          <w:rFonts w:ascii="Calibri Light" w:hAnsi="Calibri Light" w:cs="Arial"/>
          <w:sz w:val="24"/>
          <w:szCs w:val="24"/>
          <w:lang w:val="es-ES_tradnl"/>
        </w:rPr>
        <w:t>-</w:t>
      </w:r>
      <w:r w:rsidRPr="009863F2">
        <w:rPr>
          <w:rFonts w:ascii="Calibri Light" w:hAnsi="Calibri Light" w:cs="Arial"/>
          <w:sz w:val="24"/>
          <w:szCs w:val="24"/>
          <w:lang w:val="es-ES_tradnl"/>
        </w:rPr>
        <w:t>regional e intra</w:t>
      </w:r>
      <w:r w:rsidR="00FA5207" w:rsidRPr="009863F2">
        <w:rPr>
          <w:rFonts w:ascii="Calibri Light" w:hAnsi="Calibri Light" w:cs="Arial"/>
          <w:sz w:val="24"/>
          <w:szCs w:val="24"/>
          <w:lang w:val="es-ES_tradnl"/>
        </w:rPr>
        <w:t>-</w:t>
      </w:r>
      <w:r w:rsidRPr="009863F2">
        <w:rPr>
          <w:rFonts w:ascii="Calibri Light" w:hAnsi="Calibri Light" w:cs="Arial"/>
          <w:sz w:val="24"/>
          <w:szCs w:val="24"/>
          <w:lang w:val="es-ES_tradnl"/>
        </w:rPr>
        <w:t>capital)</w:t>
      </w:r>
      <w:r w:rsidR="00E02753" w:rsidRPr="009863F2">
        <w:rPr>
          <w:rFonts w:ascii="Calibri Light" w:hAnsi="Calibri Light" w:cs="Arial"/>
          <w:sz w:val="24"/>
          <w:szCs w:val="24"/>
          <w:lang w:val="es-ES_tradnl"/>
        </w:rPr>
        <w:t xml:space="preserve">. Esto, </w:t>
      </w:r>
      <w:r w:rsidRPr="009863F2">
        <w:rPr>
          <w:rFonts w:ascii="Calibri Light" w:hAnsi="Calibri Light" w:cs="Arial"/>
          <w:sz w:val="24"/>
          <w:szCs w:val="24"/>
          <w:lang w:val="es-ES_tradnl"/>
        </w:rPr>
        <w:t>eventualmente, abre el espacio para la utilización de nuevas herramientas que demandan una intervención financiera diferente</w:t>
      </w:r>
      <w:r w:rsidR="00B753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según el caso</w:t>
      </w:r>
      <w:r w:rsidR="00B753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que permita hacer frente a temas tales como la propia decisión de las familias </w:t>
      </w:r>
      <w:r w:rsidR="00B7534B" w:rsidRPr="009863F2">
        <w:rPr>
          <w:rFonts w:ascii="Calibri Light" w:hAnsi="Calibri Light" w:cs="Arial"/>
          <w:sz w:val="24"/>
          <w:szCs w:val="24"/>
          <w:lang w:val="es-ES_tradnl"/>
        </w:rPr>
        <w:t>par</w:t>
      </w:r>
      <w:r w:rsidRPr="009863F2">
        <w:rPr>
          <w:rFonts w:ascii="Calibri Light" w:hAnsi="Calibri Light" w:cs="Arial"/>
          <w:sz w:val="24"/>
          <w:szCs w:val="24"/>
          <w:lang w:val="es-ES_tradnl"/>
        </w:rPr>
        <w:t xml:space="preserve">a definir el tipo de vivienda </w:t>
      </w:r>
      <w:r w:rsidR="00B7534B" w:rsidRPr="009863F2">
        <w:rPr>
          <w:rFonts w:ascii="Calibri Light" w:hAnsi="Calibri Light" w:cs="Arial"/>
          <w:sz w:val="24"/>
          <w:szCs w:val="24"/>
          <w:lang w:val="es-ES_tradnl"/>
        </w:rPr>
        <w:t xml:space="preserve">y su localización </w:t>
      </w:r>
      <w:r w:rsidRPr="009863F2">
        <w:rPr>
          <w:rFonts w:ascii="Calibri Light" w:hAnsi="Calibri Light" w:cs="Arial"/>
          <w:sz w:val="24"/>
          <w:szCs w:val="24"/>
          <w:lang w:val="es-ES_tradnl"/>
        </w:rPr>
        <w:t>(en función de sus características de movilidad)</w:t>
      </w:r>
      <w:r w:rsidR="00B7534B" w:rsidRPr="009863F2">
        <w:rPr>
          <w:rFonts w:ascii="Calibri Light" w:hAnsi="Calibri Light" w:cs="Arial"/>
          <w:sz w:val="24"/>
          <w:szCs w:val="24"/>
          <w:lang w:val="es-ES_tradnl"/>
        </w:rPr>
        <w:t>, así como también</w:t>
      </w:r>
      <w:r w:rsidRPr="009863F2">
        <w:rPr>
          <w:rFonts w:ascii="Calibri Light" w:hAnsi="Calibri Light" w:cs="Arial"/>
          <w:sz w:val="24"/>
          <w:szCs w:val="24"/>
          <w:lang w:val="es-ES_tradnl"/>
        </w:rPr>
        <w:t xml:space="preserve"> el tipo de vivienda </w:t>
      </w:r>
      <w:r w:rsidR="00B7534B" w:rsidRPr="009863F2">
        <w:rPr>
          <w:rFonts w:ascii="Calibri Light" w:hAnsi="Calibri Light" w:cs="Arial"/>
          <w:sz w:val="24"/>
          <w:szCs w:val="24"/>
          <w:lang w:val="es-ES_tradnl"/>
        </w:rPr>
        <w:t xml:space="preserve">en términos del </w:t>
      </w:r>
      <w:r w:rsidRPr="009863F2">
        <w:rPr>
          <w:rFonts w:ascii="Calibri Light" w:hAnsi="Calibri Light" w:cs="Arial"/>
          <w:i/>
          <w:sz w:val="24"/>
          <w:szCs w:val="24"/>
          <w:lang w:val="es-ES_tradnl"/>
        </w:rPr>
        <w:t>stock</w:t>
      </w:r>
      <w:r w:rsidRPr="009863F2">
        <w:rPr>
          <w:rFonts w:ascii="Calibri Light" w:hAnsi="Calibri Light" w:cs="Arial"/>
          <w:sz w:val="24"/>
          <w:szCs w:val="24"/>
          <w:lang w:val="es-ES_tradnl"/>
        </w:rPr>
        <w:t xml:space="preserve"> existente</w:t>
      </w:r>
      <w:r w:rsidR="00B753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 xml:space="preserve">lo cual </w:t>
      </w:r>
      <w:r w:rsidRPr="009863F2">
        <w:rPr>
          <w:rFonts w:ascii="Calibri Light" w:hAnsi="Calibri Light" w:cs="Arial"/>
          <w:sz w:val="24"/>
          <w:szCs w:val="24"/>
          <w:lang w:val="es-ES_tradnl"/>
        </w:rPr>
        <w:t xml:space="preserve">incluye la posibilidad de la autoconstrucción </w:t>
      </w:r>
      <w:r w:rsidR="005539DF" w:rsidRPr="009863F2">
        <w:rPr>
          <w:rFonts w:ascii="Calibri Light" w:hAnsi="Calibri Light" w:cs="Arial"/>
          <w:sz w:val="24"/>
          <w:szCs w:val="24"/>
          <w:lang w:val="es-ES_tradnl"/>
        </w:rPr>
        <w:t xml:space="preserve">(también denominada vivienda incremental) </w:t>
      </w:r>
      <w:r w:rsidRPr="009863F2">
        <w:rPr>
          <w:rFonts w:ascii="Calibri Light" w:hAnsi="Calibri Light" w:cs="Arial"/>
          <w:sz w:val="24"/>
          <w:szCs w:val="24"/>
          <w:lang w:val="es-ES_tradnl"/>
        </w:rPr>
        <w:t xml:space="preserve">como una de las variables adicionales a tener en cuenta en la evolución y </w:t>
      </w:r>
      <w:r w:rsidR="008138A4" w:rsidRPr="009863F2">
        <w:rPr>
          <w:rFonts w:ascii="Calibri Light" w:hAnsi="Calibri Light" w:cs="Arial"/>
          <w:sz w:val="24"/>
          <w:szCs w:val="24"/>
          <w:lang w:val="es-ES_tradnl"/>
        </w:rPr>
        <w:t>comprensión</w:t>
      </w:r>
      <w:r w:rsidR="00B7534B"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del tema vivienda en la región.</w:t>
      </w:r>
    </w:p>
    <w:p w14:paraId="2DBBC2B5" w14:textId="77777777" w:rsidR="00633907" w:rsidRPr="009863F2" w:rsidRDefault="00633907" w:rsidP="009863F2">
      <w:pPr>
        <w:spacing w:after="0" w:line="240" w:lineRule="auto"/>
        <w:jc w:val="both"/>
        <w:rPr>
          <w:rFonts w:ascii="Calibri Light" w:hAnsi="Calibri Light" w:cs="Arial"/>
          <w:sz w:val="24"/>
          <w:szCs w:val="24"/>
          <w:lang w:val="es-ES_tradnl"/>
        </w:rPr>
      </w:pPr>
    </w:p>
    <w:p w14:paraId="17296FB3" w14:textId="4151C2DD" w:rsidR="00D82C93" w:rsidRPr="009863F2" w:rsidRDefault="00E02753"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Un </w:t>
      </w:r>
      <w:r w:rsidR="00093B8E" w:rsidRPr="009863F2">
        <w:rPr>
          <w:rFonts w:ascii="Calibri Light" w:hAnsi="Calibri Light" w:cs="Arial"/>
          <w:sz w:val="24"/>
          <w:szCs w:val="24"/>
          <w:lang w:val="es-ES_tradnl"/>
        </w:rPr>
        <w:t xml:space="preserve">sistema de financiamiento </w:t>
      </w:r>
      <w:r w:rsidR="00B7534B" w:rsidRPr="009863F2">
        <w:rPr>
          <w:rFonts w:ascii="Calibri Light" w:hAnsi="Calibri Light" w:cs="Arial"/>
          <w:sz w:val="24"/>
          <w:szCs w:val="24"/>
          <w:lang w:val="es-ES_tradnl"/>
        </w:rPr>
        <w:t>para la</w:t>
      </w:r>
      <w:r w:rsidR="00093B8E" w:rsidRPr="009863F2">
        <w:rPr>
          <w:rFonts w:ascii="Calibri Light" w:hAnsi="Calibri Light" w:cs="Arial"/>
          <w:sz w:val="24"/>
          <w:szCs w:val="24"/>
          <w:lang w:val="es-ES_tradnl"/>
        </w:rPr>
        <w:t xml:space="preserve"> vivienda </w:t>
      </w:r>
      <w:r w:rsidRPr="009863F2">
        <w:rPr>
          <w:rFonts w:ascii="Calibri Light" w:hAnsi="Calibri Light" w:cs="Arial"/>
          <w:sz w:val="24"/>
          <w:szCs w:val="24"/>
          <w:lang w:val="es-ES_tradnl"/>
        </w:rPr>
        <w:t xml:space="preserve">tampoco </w:t>
      </w:r>
      <w:r w:rsidR="00093B8E" w:rsidRPr="009863F2">
        <w:rPr>
          <w:rFonts w:ascii="Calibri Light" w:hAnsi="Calibri Light" w:cs="Arial"/>
          <w:sz w:val="24"/>
          <w:szCs w:val="24"/>
          <w:lang w:val="es-ES_tradnl"/>
        </w:rPr>
        <w:t xml:space="preserve">puede dejar de lado la adecuada, oportuna y sostenible utilización de subsidios que complementen o potencien (según el caso) las condiciones necesarias y suficientes para acompañar y validar la acción y </w:t>
      </w:r>
      <w:r w:rsidR="00B7534B" w:rsidRPr="009863F2">
        <w:rPr>
          <w:rFonts w:ascii="Calibri Light" w:hAnsi="Calibri Light" w:cs="Arial"/>
          <w:sz w:val="24"/>
          <w:szCs w:val="24"/>
          <w:lang w:val="es-ES_tradnl"/>
        </w:rPr>
        <w:t xml:space="preserve">el </w:t>
      </w:r>
      <w:r w:rsidR="00093B8E" w:rsidRPr="009863F2">
        <w:rPr>
          <w:rFonts w:ascii="Calibri Light" w:hAnsi="Calibri Light" w:cs="Arial"/>
          <w:sz w:val="24"/>
          <w:szCs w:val="24"/>
          <w:lang w:val="es-ES_tradnl"/>
        </w:rPr>
        <w:t>desarrollo de los mercados de financiamiento en aquellos espacios donde así se lo requiera.</w:t>
      </w:r>
      <w:r w:rsidRPr="009863F2">
        <w:rPr>
          <w:rFonts w:ascii="Calibri Light" w:hAnsi="Calibri Light" w:cs="Arial"/>
          <w:sz w:val="24"/>
          <w:szCs w:val="24"/>
          <w:lang w:val="es-ES_tradnl"/>
        </w:rPr>
        <w:t xml:space="preserve"> </w:t>
      </w:r>
      <w:r w:rsidR="00786221" w:rsidRPr="009863F2">
        <w:rPr>
          <w:rFonts w:ascii="Calibri Light" w:hAnsi="Calibri Light" w:cs="Arial"/>
          <w:sz w:val="24"/>
          <w:szCs w:val="24"/>
          <w:lang w:val="es-ES_tradnl"/>
        </w:rPr>
        <w:t xml:space="preserve">Asimismo, </w:t>
      </w:r>
      <w:r w:rsidR="00377879" w:rsidRPr="009863F2">
        <w:rPr>
          <w:rFonts w:ascii="Calibri Light" w:hAnsi="Calibri Light" w:cs="Arial"/>
          <w:sz w:val="24"/>
          <w:szCs w:val="24"/>
          <w:lang w:val="es-ES_tradnl"/>
        </w:rPr>
        <w:t xml:space="preserve">al definir políticas de financiamiento </w:t>
      </w:r>
      <w:r w:rsidR="00B7534B" w:rsidRPr="009863F2">
        <w:rPr>
          <w:rFonts w:ascii="Calibri Light" w:hAnsi="Calibri Light" w:cs="Arial"/>
          <w:sz w:val="24"/>
          <w:szCs w:val="24"/>
          <w:lang w:val="es-ES_tradnl"/>
        </w:rPr>
        <w:t>par</w:t>
      </w:r>
      <w:r w:rsidR="00377879" w:rsidRPr="009863F2">
        <w:rPr>
          <w:rFonts w:ascii="Calibri Light" w:hAnsi="Calibri Light" w:cs="Arial"/>
          <w:sz w:val="24"/>
          <w:szCs w:val="24"/>
          <w:lang w:val="es-ES_tradnl"/>
        </w:rPr>
        <w:t>a la vivienda</w:t>
      </w:r>
      <w:r w:rsidR="00B7534B" w:rsidRPr="009863F2">
        <w:rPr>
          <w:rFonts w:ascii="Calibri Light" w:hAnsi="Calibri Light" w:cs="Arial"/>
          <w:sz w:val="24"/>
          <w:szCs w:val="24"/>
          <w:lang w:val="es-ES_tradnl"/>
        </w:rPr>
        <w:t>, es importante reconocer también el tema de género,</w:t>
      </w:r>
      <w:r w:rsidR="00377879" w:rsidRPr="009863F2">
        <w:rPr>
          <w:rFonts w:ascii="Calibri Light" w:hAnsi="Calibri Light" w:cs="Arial"/>
          <w:sz w:val="24"/>
          <w:szCs w:val="24"/>
          <w:lang w:val="es-ES_tradnl"/>
        </w:rPr>
        <w:t xml:space="preserve"> dado que </w:t>
      </w:r>
      <w:r w:rsidR="00D82C93" w:rsidRPr="009863F2">
        <w:rPr>
          <w:rFonts w:ascii="Calibri Light" w:hAnsi="Calibri Light" w:cs="Arial"/>
          <w:sz w:val="24"/>
          <w:szCs w:val="24"/>
          <w:lang w:val="es-ES_tradnl"/>
        </w:rPr>
        <w:t xml:space="preserve">las mujeres </w:t>
      </w:r>
      <w:r w:rsidR="00786221" w:rsidRPr="009863F2">
        <w:rPr>
          <w:rFonts w:ascii="Calibri Light" w:hAnsi="Calibri Light" w:cs="Arial"/>
          <w:sz w:val="24"/>
          <w:szCs w:val="24"/>
          <w:lang w:val="es-ES_tradnl"/>
        </w:rPr>
        <w:t xml:space="preserve">enfrentan mayores </w:t>
      </w:r>
      <w:r w:rsidR="00D82C93" w:rsidRPr="009863F2">
        <w:rPr>
          <w:rFonts w:ascii="Calibri Light" w:hAnsi="Calibri Light" w:cs="Arial"/>
          <w:sz w:val="24"/>
          <w:szCs w:val="24"/>
          <w:lang w:val="es-ES_tradnl"/>
        </w:rPr>
        <w:t>barreras de acceso al financiamiento que los hombres</w:t>
      </w:r>
      <w:r w:rsidR="00996A6F" w:rsidRPr="009863F2">
        <w:rPr>
          <w:rFonts w:ascii="Calibri Light" w:hAnsi="Calibri Light" w:cs="Arial"/>
          <w:sz w:val="24"/>
          <w:szCs w:val="24"/>
          <w:lang w:val="es-ES_tradnl"/>
        </w:rPr>
        <w:t xml:space="preserve"> (Olloqui, Andrade y Herrera, 2015)</w:t>
      </w:r>
      <w:r w:rsidR="00996A6F" w:rsidRPr="009863F2">
        <w:rPr>
          <w:rStyle w:val="FootnoteReference"/>
          <w:rFonts w:ascii="Calibri Light" w:hAnsi="Calibri Light" w:cs="Arial"/>
          <w:sz w:val="24"/>
          <w:szCs w:val="24"/>
          <w:lang w:val="es-ES_tradnl"/>
        </w:rPr>
        <w:footnoteReference w:id="4"/>
      </w:r>
      <w:r w:rsidR="00D82C93" w:rsidRPr="009863F2">
        <w:rPr>
          <w:rFonts w:ascii="Calibri Light" w:hAnsi="Calibri Light" w:cs="Arial"/>
          <w:sz w:val="24"/>
          <w:szCs w:val="24"/>
          <w:lang w:val="es-ES_tradnl"/>
        </w:rPr>
        <w:t xml:space="preserve">. </w:t>
      </w:r>
      <w:r w:rsidR="00377879" w:rsidRPr="009863F2">
        <w:rPr>
          <w:rFonts w:ascii="Calibri Light" w:hAnsi="Calibri Light" w:cs="Arial"/>
          <w:sz w:val="24"/>
          <w:szCs w:val="24"/>
          <w:lang w:val="es-ES_tradnl"/>
        </w:rPr>
        <w:t xml:space="preserve">Entre las causas de </w:t>
      </w:r>
      <w:r w:rsidR="00B7534B" w:rsidRPr="009863F2">
        <w:rPr>
          <w:rFonts w:ascii="Calibri Light" w:hAnsi="Calibri Light" w:cs="Arial"/>
          <w:sz w:val="24"/>
          <w:szCs w:val="24"/>
          <w:lang w:val="es-ES_tradnl"/>
        </w:rPr>
        <w:t>esta situación, cabe mencionar</w:t>
      </w:r>
      <w:r w:rsidR="00377879" w:rsidRPr="009863F2">
        <w:rPr>
          <w:rFonts w:ascii="Calibri Light" w:hAnsi="Calibri Light" w:cs="Arial"/>
          <w:sz w:val="24"/>
          <w:szCs w:val="24"/>
          <w:lang w:val="es-ES_tradnl"/>
        </w:rPr>
        <w:t xml:space="preserve"> aspectos culturales, </w:t>
      </w:r>
      <w:r w:rsidR="00D82C93" w:rsidRPr="009863F2">
        <w:rPr>
          <w:rFonts w:ascii="Calibri Light" w:hAnsi="Calibri Light" w:cs="Arial"/>
          <w:sz w:val="24"/>
          <w:szCs w:val="24"/>
          <w:lang w:val="es-ES_tradnl"/>
        </w:rPr>
        <w:t xml:space="preserve">falta de colateral y garantías, niveles de ingreso menores </w:t>
      </w:r>
      <w:r w:rsidR="00377879" w:rsidRPr="009863F2">
        <w:rPr>
          <w:rFonts w:ascii="Calibri Light" w:hAnsi="Calibri Light" w:cs="Arial"/>
          <w:sz w:val="24"/>
          <w:szCs w:val="24"/>
          <w:lang w:val="es-ES_tradnl"/>
        </w:rPr>
        <w:t xml:space="preserve">que </w:t>
      </w:r>
      <w:r w:rsidR="00B7534B" w:rsidRPr="009863F2">
        <w:rPr>
          <w:rFonts w:ascii="Calibri Light" w:hAnsi="Calibri Light" w:cs="Arial"/>
          <w:sz w:val="24"/>
          <w:szCs w:val="24"/>
          <w:lang w:val="es-ES_tradnl"/>
        </w:rPr>
        <w:t xml:space="preserve">los </w:t>
      </w:r>
      <w:r w:rsidR="00D82C93" w:rsidRPr="009863F2">
        <w:rPr>
          <w:rFonts w:ascii="Calibri Light" w:hAnsi="Calibri Light" w:cs="Arial"/>
          <w:sz w:val="24"/>
          <w:szCs w:val="24"/>
          <w:lang w:val="es-ES_tradnl"/>
        </w:rPr>
        <w:t>de los hombres</w:t>
      </w:r>
      <w:r w:rsidR="00377879" w:rsidRPr="009863F2">
        <w:rPr>
          <w:rFonts w:ascii="Calibri Light" w:hAnsi="Calibri Light" w:cs="Arial"/>
          <w:sz w:val="24"/>
          <w:szCs w:val="24"/>
          <w:lang w:val="es-ES_tradnl"/>
        </w:rPr>
        <w:t xml:space="preserve">, </w:t>
      </w:r>
      <w:r w:rsidR="00D82C93" w:rsidRPr="009863F2">
        <w:rPr>
          <w:rFonts w:ascii="Calibri Light" w:hAnsi="Calibri Light" w:cs="Arial"/>
          <w:sz w:val="24"/>
          <w:szCs w:val="24"/>
          <w:lang w:val="es-ES_tradnl"/>
        </w:rPr>
        <w:t>mayor informalidad</w:t>
      </w:r>
      <w:r w:rsidR="00377879" w:rsidRPr="009863F2">
        <w:rPr>
          <w:rFonts w:ascii="Calibri Light" w:hAnsi="Calibri Light" w:cs="Arial"/>
          <w:sz w:val="24"/>
          <w:szCs w:val="24"/>
          <w:lang w:val="es-ES_tradnl"/>
        </w:rPr>
        <w:t>,</w:t>
      </w:r>
      <w:r w:rsidR="00D82C93" w:rsidRPr="009863F2">
        <w:rPr>
          <w:rFonts w:ascii="Calibri Light" w:hAnsi="Calibri Light" w:cs="Arial"/>
          <w:sz w:val="24"/>
          <w:szCs w:val="24"/>
          <w:lang w:val="es-ES_tradnl"/>
        </w:rPr>
        <w:t xml:space="preserve"> </w:t>
      </w:r>
      <w:r w:rsidR="00377879" w:rsidRPr="009863F2">
        <w:rPr>
          <w:rFonts w:ascii="Calibri Light" w:hAnsi="Calibri Light" w:cs="Arial"/>
          <w:sz w:val="24"/>
          <w:szCs w:val="24"/>
          <w:lang w:val="es-ES_tradnl"/>
        </w:rPr>
        <w:t>y una escasa oferta a la medida por parte de las IF</w:t>
      </w:r>
      <w:r w:rsidR="00D82C93" w:rsidRPr="009863F2">
        <w:rPr>
          <w:rFonts w:ascii="Calibri Light" w:hAnsi="Calibri Light" w:cs="Arial"/>
          <w:sz w:val="24"/>
          <w:szCs w:val="24"/>
          <w:lang w:val="es-ES_tradnl"/>
        </w:rPr>
        <w:t xml:space="preserve">. </w:t>
      </w:r>
    </w:p>
    <w:p w14:paraId="2BAEE69E" w14:textId="77777777" w:rsidR="00D82C93" w:rsidRPr="009863F2" w:rsidRDefault="00D82C93" w:rsidP="009863F2">
      <w:pPr>
        <w:spacing w:after="0" w:line="240" w:lineRule="auto"/>
        <w:jc w:val="both"/>
        <w:rPr>
          <w:rFonts w:ascii="Calibri Light" w:hAnsi="Calibri Light" w:cs="Arial"/>
          <w:sz w:val="24"/>
          <w:szCs w:val="24"/>
          <w:lang w:val="es-ES_tradnl"/>
        </w:rPr>
      </w:pPr>
    </w:p>
    <w:p w14:paraId="6FD204E7" w14:textId="7CE45F47" w:rsidR="000D345F" w:rsidRPr="009863F2" w:rsidRDefault="00633907"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Cada una de estas condiciones debe estar presente en las decisiones de política</w:t>
      </w:r>
      <w:r w:rsidR="00B7534B" w:rsidRPr="009863F2">
        <w:rPr>
          <w:rFonts w:ascii="Calibri Light" w:hAnsi="Calibri Light" w:cs="Arial"/>
          <w:sz w:val="24"/>
          <w:szCs w:val="24"/>
          <w:lang w:val="es-ES_tradnl"/>
        </w:rPr>
        <w:t>s</w:t>
      </w:r>
      <w:r w:rsidRPr="009863F2">
        <w:rPr>
          <w:rFonts w:ascii="Calibri Light" w:hAnsi="Calibri Light" w:cs="Arial"/>
          <w:sz w:val="24"/>
          <w:szCs w:val="24"/>
          <w:lang w:val="es-ES_tradnl"/>
        </w:rPr>
        <w:t xml:space="preserve"> y en los instrumentos con los cuales se construya la respuesta </w:t>
      </w:r>
      <w:r w:rsidR="00B7534B" w:rsidRPr="009863F2">
        <w:rPr>
          <w:rFonts w:ascii="Calibri Light" w:hAnsi="Calibri Light" w:cs="Arial"/>
          <w:sz w:val="24"/>
          <w:szCs w:val="24"/>
          <w:lang w:val="es-ES_tradnl"/>
        </w:rPr>
        <w:t>par</w:t>
      </w:r>
      <w:r w:rsidRPr="009863F2">
        <w:rPr>
          <w:rFonts w:ascii="Calibri Light" w:hAnsi="Calibri Light" w:cs="Arial"/>
          <w:sz w:val="24"/>
          <w:szCs w:val="24"/>
          <w:lang w:val="es-ES_tradnl"/>
        </w:rPr>
        <w:t>a cada probl</w:t>
      </w:r>
      <w:r w:rsidR="00093B8E" w:rsidRPr="009863F2">
        <w:rPr>
          <w:rFonts w:ascii="Calibri Light" w:hAnsi="Calibri Light" w:cs="Arial"/>
          <w:sz w:val="24"/>
          <w:szCs w:val="24"/>
          <w:lang w:val="es-ES_tradnl"/>
        </w:rPr>
        <w:t xml:space="preserve">ema, incluyendo a los actores públicos y privados que, en cada caso, </w:t>
      </w:r>
      <w:r w:rsidR="000D345F" w:rsidRPr="009863F2">
        <w:rPr>
          <w:rFonts w:ascii="Calibri Light" w:hAnsi="Calibri Light" w:cs="Arial"/>
          <w:sz w:val="24"/>
          <w:szCs w:val="24"/>
          <w:lang w:val="es-ES_tradnl"/>
        </w:rPr>
        <w:t xml:space="preserve">puedan entender y precisar las diferentes </w:t>
      </w:r>
      <w:r w:rsidR="000D345F" w:rsidRPr="009863F2">
        <w:rPr>
          <w:rFonts w:ascii="Calibri Light" w:hAnsi="Calibri Light" w:cs="Arial"/>
          <w:sz w:val="24"/>
          <w:szCs w:val="24"/>
          <w:lang w:val="es-ES_tradnl"/>
        </w:rPr>
        <w:lastRenderedPageBreak/>
        <w:t xml:space="preserve">características estructurales y coyunturales de cada país en la región de </w:t>
      </w:r>
      <w:r w:rsidR="00E02753" w:rsidRPr="009863F2">
        <w:rPr>
          <w:rFonts w:ascii="Calibri Light" w:hAnsi="Calibri Light" w:cs="Arial"/>
          <w:sz w:val="24"/>
          <w:szCs w:val="24"/>
          <w:lang w:val="es-ES_tradnl"/>
        </w:rPr>
        <w:t>ALC</w:t>
      </w:r>
      <w:r w:rsidR="00B7534B" w:rsidRPr="009863F2">
        <w:rPr>
          <w:rFonts w:ascii="Calibri Light" w:hAnsi="Calibri Light" w:cs="Arial"/>
          <w:sz w:val="24"/>
          <w:szCs w:val="24"/>
          <w:lang w:val="es-ES_tradnl"/>
        </w:rPr>
        <w:t>,</w:t>
      </w:r>
      <w:r w:rsidR="00E02753"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 xml:space="preserve">de modo de </w:t>
      </w:r>
      <w:r w:rsidR="000D345F" w:rsidRPr="009863F2">
        <w:rPr>
          <w:rFonts w:ascii="Calibri Light" w:hAnsi="Calibri Light" w:cs="Arial"/>
          <w:sz w:val="24"/>
          <w:szCs w:val="24"/>
          <w:lang w:val="es-ES_tradnl"/>
        </w:rPr>
        <w:t>agregar diferentes herramientas que permitan satisfacer las restri</w:t>
      </w:r>
      <w:r w:rsidR="005539DF" w:rsidRPr="009863F2">
        <w:rPr>
          <w:rFonts w:ascii="Calibri Light" w:hAnsi="Calibri Light" w:cs="Arial"/>
          <w:sz w:val="24"/>
          <w:szCs w:val="24"/>
          <w:lang w:val="es-ES_tradnl"/>
        </w:rPr>
        <w:t xml:space="preserve">cciones planteadas en cada caso y que converjan en una adecuada </w:t>
      </w:r>
      <w:r w:rsidR="00B7534B" w:rsidRPr="009863F2">
        <w:rPr>
          <w:rFonts w:ascii="Calibri Light" w:hAnsi="Calibri Light" w:cs="Arial"/>
          <w:sz w:val="24"/>
          <w:szCs w:val="24"/>
          <w:lang w:val="es-ES_tradnl"/>
        </w:rPr>
        <w:t xml:space="preserve">generación </w:t>
      </w:r>
      <w:r w:rsidR="005539DF" w:rsidRPr="009863F2">
        <w:rPr>
          <w:rFonts w:ascii="Calibri Light" w:hAnsi="Calibri Light" w:cs="Arial"/>
          <w:sz w:val="24"/>
          <w:szCs w:val="24"/>
          <w:lang w:val="es-ES_tradnl"/>
        </w:rPr>
        <w:t xml:space="preserve">de </w:t>
      </w:r>
      <w:r w:rsidR="00E02753" w:rsidRPr="009863F2">
        <w:rPr>
          <w:rFonts w:ascii="Calibri Light" w:hAnsi="Calibri Light" w:cs="Arial"/>
          <w:sz w:val="24"/>
          <w:szCs w:val="24"/>
          <w:lang w:val="es-ES_tradnl"/>
        </w:rPr>
        <w:t xml:space="preserve">soluciones </w:t>
      </w:r>
      <w:r w:rsidR="005539DF" w:rsidRPr="009863F2">
        <w:rPr>
          <w:rFonts w:ascii="Calibri Light" w:hAnsi="Calibri Light" w:cs="Arial"/>
          <w:sz w:val="24"/>
          <w:szCs w:val="24"/>
          <w:lang w:val="es-ES_tradnl"/>
        </w:rPr>
        <w:t>financier</w:t>
      </w:r>
      <w:r w:rsidR="00E02753" w:rsidRPr="009863F2">
        <w:rPr>
          <w:rFonts w:ascii="Calibri Light" w:hAnsi="Calibri Light" w:cs="Arial"/>
          <w:sz w:val="24"/>
          <w:szCs w:val="24"/>
          <w:lang w:val="es-ES_tradnl"/>
        </w:rPr>
        <w:t>a</w:t>
      </w:r>
      <w:r w:rsidR="005539DF" w:rsidRPr="009863F2">
        <w:rPr>
          <w:rFonts w:ascii="Calibri Light" w:hAnsi="Calibri Light" w:cs="Arial"/>
          <w:sz w:val="24"/>
          <w:szCs w:val="24"/>
          <w:lang w:val="es-ES_tradnl"/>
        </w:rPr>
        <w:t xml:space="preserve">s </w:t>
      </w:r>
      <w:r w:rsidR="00E02753" w:rsidRPr="009863F2">
        <w:rPr>
          <w:rFonts w:ascii="Calibri Light" w:hAnsi="Calibri Light" w:cs="Arial"/>
          <w:sz w:val="24"/>
          <w:szCs w:val="24"/>
          <w:lang w:val="es-ES_tradnl"/>
        </w:rPr>
        <w:t xml:space="preserve">orientadas </w:t>
      </w:r>
      <w:r w:rsidR="005539DF" w:rsidRPr="009863F2">
        <w:rPr>
          <w:rFonts w:ascii="Calibri Light" w:hAnsi="Calibri Light" w:cs="Arial"/>
          <w:sz w:val="24"/>
          <w:szCs w:val="24"/>
          <w:lang w:val="es-ES_tradnl"/>
        </w:rPr>
        <w:t>a</w:t>
      </w:r>
      <w:r w:rsidR="00E02753" w:rsidRPr="009863F2">
        <w:rPr>
          <w:rFonts w:ascii="Calibri Light" w:hAnsi="Calibri Light" w:cs="Arial"/>
          <w:sz w:val="24"/>
          <w:szCs w:val="24"/>
          <w:lang w:val="es-ES_tradnl"/>
        </w:rPr>
        <w:t>l mercado de</w:t>
      </w:r>
      <w:r w:rsidR="005539DF"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 xml:space="preserve">la </w:t>
      </w:r>
      <w:r w:rsidR="005539DF" w:rsidRPr="009863F2">
        <w:rPr>
          <w:rFonts w:ascii="Calibri Light" w:hAnsi="Calibri Light" w:cs="Arial"/>
          <w:sz w:val="24"/>
          <w:szCs w:val="24"/>
          <w:lang w:val="es-ES_tradnl"/>
        </w:rPr>
        <w:t>vivienda</w:t>
      </w:r>
      <w:r w:rsidR="00D82C93" w:rsidRPr="009863F2">
        <w:rPr>
          <w:rFonts w:ascii="Calibri Light" w:hAnsi="Calibri Light" w:cs="Arial"/>
          <w:sz w:val="24"/>
          <w:szCs w:val="24"/>
          <w:lang w:val="es-ES_tradnl"/>
        </w:rPr>
        <w:t>.</w:t>
      </w:r>
    </w:p>
    <w:p w14:paraId="6712F306" w14:textId="77777777" w:rsidR="00071C6B" w:rsidRPr="009863F2" w:rsidRDefault="00071C6B" w:rsidP="009863F2">
      <w:pPr>
        <w:spacing w:after="0" w:line="240" w:lineRule="auto"/>
        <w:jc w:val="both"/>
        <w:rPr>
          <w:rFonts w:ascii="Calibri Light" w:hAnsi="Calibri Light" w:cs="Arial"/>
          <w:sz w:val="24"/>
          <w:szCs w:val="24"/>
          <w:lang w:val="es-ES_tradnl"/>
        </w:rPr>
      </w:pPr>
    </w:p>
    <w:p w14:paraId="5D02169A" w14:textId="312A867C" w:rsidR="00DD12A9" w:rsidRPr="009863F2" w:rsidRDefault="009A51AC" w:rsidP="009863F2">
      <w:pPr>
        <w:pStyle w:val="ListParagraph"/>
        <w:spacing w:after="0" w:line="240" w:lineRule="auto"/>
        <w:ind w:left="0"/>
        <w:contextualSpacing w:val="0"/>
        <w:jc w:val="both"/>
        <w:rPr>
          <w:rFonts w:ascii="Calibri Light" w:hAnsi="Calibri Light" w:cs="Arial"/>
          <w:sz w:val="24"/>
          <w:szCs w:val="24"/>
          <w:lang w:val="es-ES_tradnl"/>
        </w:rPr>
      </w:pPr>
      <w:r w:rsidRPr="009863F2">
        <w:rPr>
          <w:rFonts w:ascii="Calibri Light" w:hAnsi="Calibri Light" w:cs="Arial"/>
          <w:sz w:val="24"/>
          <w:szCs w:val="24"/>
          <w:lang w:val="es-ES"/>
        </w:rPr>
        <w:t xml:space="preserve">El presente </w:t>
      </w:r>
      <w:r w:rsidR="00332D6C" w:rsidRPr="009863F2">
        <w:rPr>
          <w:rFonts w:ascii="Calibri Light" w:hAnsi="Calibri Light" w:cs="Arial"/>
          <w:sz w:val="24"/>
          <w:szCs w:val="24"/>
          <w:lang w:val="es-ES"/>
        </w:rPr>
        <w:t xml:space="preserve">documento tiene el objetivo de justificar intervenciones de política pública específicas para </w:t>
      </w:r>
      <w:r w:rsidR="00236723" w:rsidRPr="009863F2">
        <w:rPr>
          <w:rFonts w:ascii="Calibri Light" w:hAnsi="Calibri Light" w:cs="Arial"/>
          <w:sz w:val="24"/>
          <w:szCs w:val="24"/>
          <w:lang w:val="es-ES"/>
        </w:rPr>
        <w:t>este mercado</w:t>
      </w:r>
      <w:r w:rsidR="00332D6C" w:rsidRPr="009863F2">
        <w:rPr>
          <w:rFonts w:ascii="Calibri Light" w:hAnsi="Calibri Light" w:cs="Arial"/>
          <w:sz w:val="24"/>
          <w:szCs w:val="24"/>
          <w:lang w:val="es-ES"/>
        </w:rPr>
        <w:t xml:space="preserve"> y delinear progr</w:t>
      </w:r>
      <w:r w:rsidR="00E45D49" w:rsidRPr="009863F2">
        <w:rPr>
          <w:rFonts w:ascii="Calibri Light" w:hAnsi="Calibri Light" w:cs="Arial"/>
          <w:sz w:val="24"/>
          <w:szCs w:val="24"/>
          <w:lang w:val="es-ES"/>
        </w:rPr>
        <w:t>amas que pued</w:t>
      </w:r>
      <w:r w:rsidR="00B7534B" w:rsidRPr="009863F2">
        <w:rPr>
          <w:rFonts w:ascii="Calibri Light" w:hAnsi="Calibri Light" w:cs="Arial"/>
          <w:sz w:val="24"/>
          <w:szCs w:val="24"/>
          <w:lang w:val="es-ES"/>
        </w:rPr>
        <w:t>a</w:t>
      </w:r>
      <w:r w:rsidR="00E45D49" w:rsidRPr="009863F2">
        <w:rPr>
          <w:rFonts w:ascii="Calibri Light" w:hAnsi="Calibri Light" w:cs="Arial"/>
          <w:sz w:val="24"/>
          <w:szCs w:val="24"/>
          <w:lang w:val="es-ES"/>
        </w:rPr>
        <w:t>n implementarse</w:t>
      </w:r>
      <w:r w:rsidR="00CB3D5A" w:rsidRPr="009863F2">
        <w:rPr>
          <w:rFonts w:ascii="Calibri Light" w:hAnsi="Calibri Light" w:cs="Arial"/>
          <w:sz w:val="24"/>
          <w:szCs w:val="24"/>
          <w:lang w:val="es-ES"/>
        </w:rPr>
        <w:t xml:space="preserve"> </w:t>
      </w:r>
      <w:r w:rsidR="00B7534B" w:rsidRPr="009863F2">
        <w:rPr>
          <w:rFonts w:ascii="Calibri Light" w:hAnsi="Calibri Light" w:cs="Arial"/>
          <w:sz w:val="24"/>
          <w:szCs w:val="24"/>
          <w:lang w:val="es-ES"/>
        </w:rPr>
        <w:t>a partir de un análisis y una evaluación de</w:t>
      </w:r>
      <w:r w:rsidR="00A81126" w:rsidRPr="009863F2">
        <w:rPr>
          <w:rFonts w:ascii="Calibri Light" w:hAnsi="Calibri Light" w:cs="Arial"/>
          <w:sz w:val="24"/>
          <w:szCs w:val="24"/>
          <w:lang w:val="es-ES"/>
        </w:rPr>
        <w:t xml:space="preserve"> </w:t>
      </w:r>
      <w:r w:rsidR="00332D6C" w:rsidRPr="009863F2">
        <w:rPr>
          <w:rFonts w:ascii="Calibri Light" w:hAnsi="Calibri Light" w:cs="Arial"/>
          <w:sz w:val="24"/>
          <w:szCs w:val="24"/>
          <w:lang w:val="es-ES"/>
        </w:rPr>
        <w:t>la</w:t>
      </w:r>
      <w:r w:rsidR="00A81126" w:rsidRPr="009863F2">
        <w:rPr>
          <w:rFonts w:ascii="Calibri Light" w:hAnsi="Calibri Light" w:cs="Arial"/>
          <w:sz w:val="24"/>
          <w:szCs w:val="24"/>
          <w:lang w:val="es-ES"/>
        </w:rPr>
        <w:t>s necesidades de financiamiento del mercado de vivienda</w:t>
      </w:r>
      <w:r w:rsidR="00067CA3" w:rsidRPr="009863F2">
        <w:rPr>
          <w:rFonts w:ascii="Calibri Light" w:hAnsi="Calibri Light" w:cs="Arial"/>
          <w:sz w:val="24"/>
          <w:szCs w:val="24"/>
          <w:lang w:val="es-ES"/>
        </w:rPr>
        <w:t xml:space="preserve"> desde la perspectiva de </w:t>
      </w:r>
      <w:r w:rsidR="00CB3D5A" w:rsidRPr="009863F2">
        <w:rPr>
          <w:rFonts w:ascii="Calibri Light" w:hAnsi="Calibri Light" w:cs="Arial"/>
          <w:sz w:val="24"/>
          <w:szCs w:val="24"/>
          <w:lang w:val="es-ES"/>
        </w:rPr>
        <w:t xml:space="preserve">sus </w:t>
      </w:r>
      <w:r w:rsidR="00067CA3" w:rsidRPr="009863F2">
        <w:rPr>
          <w:rFonts w:ascii="Calibri Light" w:hAnsi="Calibri Light" w:cs="Arial"/>
          <w:sz w:val="24"/>
          <w:szCs w:val="24"/>
          <w:lang w:val="es-ES"/>
        </w:rPr>
        <w:t>actores</w:t>
      </w:r>
      <w:r w:rsidR="00CB3D5A" w:rsidRPr="009863F2">
        <w:rPr>
          <w:rFonts w:ascii="Calibri Light" w:hAnsi="Calibri Light" w:cs="Arial"/>
          <w:sz w:val="24"/>
          <w:szCs w:val="24"/>
          <w:lang w:val="es-ES"/>
        </w:rPr>
        <w:t xml:space="preserve"> participantes</w:t>
      </w:r>
      <w:r w:rsidR="00A81126" w:rsidRPr="009863F2">
        <w:rPr>
          <w:rFonts w:ascii="Calibri Light" w:hAnsi="Calibri Light" w:cs="Arial"/>
          <w:sz w:val="24"/>
          <w:szCs w:val="24"/>
          <w:lang w:val="es-ES"/>
        </w:rPr>
        <w:t xml:space="preserve">, </w:t>
      </w:r>
      <w:r w:rsidR="00CB3D5A" w:rsidRPr="009863F2">
        <w:rPr>
          <w:rFonts w:ascii="Calibri Light" w:hAnsi="Calibri Light" w:cs="Arial"/>
          <w:sz w:val="24"/>
          <w:szCs w:val="24"/>
          <w:lang w:val="es-ES"/>
        </w:rPr>
        <w:t>sus elementos constitutivos</w:t>
      </w:r>
      <w:r w:rsidR="00B7534B" w:rsidRPr="009863F2">
        <w:rPr>
          <w:rFonts w:ascii="Calibri Light" w:hAnsi="Calibri Light" w:cs="Arial"/>
          <w:sz w:val="24"/>
          <w:szCs w:val="24"/>
          <w:lang w:val="es-ES"/>
        </w:rPr>
        <w:t>,</w:t>
      </w:r>
      <w:r w:rsidR="00CB3D5A" w:rsidRPr="009863F2">
        <w:rPr>
          <w:rFonts w:ascii="Calibri Light" w:hAnsi="Calibri Light" w:cs="Arial"/>
          <w:sz w:val="24"/>
          <w:szCs w:val="24"/>
          <w:lang w:val="es-ES"/>
        </w:rPr>
        <w:t xml:space="preserve"> y </w:t>
      </w:r>
      <w:r w:rsidR="00B7534B" w:rsidRPr="009863F2">
        <w:rPr>
          <w:rFonts w:ascii="Calibri Light" w:hAnsi="Calibri Light" w:cs="Arial"/>
          <w:sz w:val="24"/>
          <w:szCs w:val="24"/>
          <w:lang w:val="es-ES"/>
        </w:rPr>
        <w:t>la revisión d</w:t>
      </w:r>
      <w:r w:rsidR="00AA3BF3" w:rsidRPr="009863F2">
        <w:rPr>
          <w:rFonts w:ascii="Calibri Light" w:hAnsi="Calibri Light" w:cs="Arial"/>
          <w:sz w:val="24"/>
          <w:szCs w:val="24"/>
          <w:lang w:val="es-ES"/>
        </w:rPr>
        <w:t xml:space="preserve">el </w:t>
      </w:r>
      <w:r w:rsidR="00A81126" w:rsidRPr="009863F2">
        <w:rPr>
          <w:rFonts w:ascii="Calibri Light" w:hAnsi="Calibri Light" w:cs="Arial"/>
          <w:sz w:val="24"/>
          <w:szCs w:val="24"/>
          <w:lang w:val="es-ES"/>
        </w:rPr>
        <w:t xml:space="preserve">contexto </w:t>
      </w:r>
      <w:r w:rsidR="00067CA3" w:rsidRPr="009863F2">
        <w:rPr>
          <w:rFonts w:ascii="Calibri Light" w:hAnsi="Calibri Light" w:cs="Arial"/>
          <w:sz w:val="24"/>
          <w:szCs w:val="24"/>
          <w:lang w:val="es-ES"/>
        </w:rPr>
        <w:t xml:space="preserve">general </w:t>
      </w:r>
      <w:r w:rsidR="00A81126" w:rsidRPr="009863F2">
        <w:rPr>
          <w:rFonts w:ascii="Calibri Light" w:hAnsi="Calibri Light" w:cs="Arial"/>
          <w:sz w:val="24"/>
          <w:szCs w:val="24"/>
          <w:lang w:val="es-ES"/>
        </w:rPr>
        <w:t xml:space="preserve">y </w:t>
      </w:r>
      <w:r w:rsidR="00B7534B" w:rsidRPr="009863F2">
        <w:rPr>
          <w:rFonts w:ascii="Calibri Light" w:hAnsi="Calibri Light" w:cs="Arial"/>
          <w:sz w:val="24"/>
          <w:szCs w:val="24"/>
          <w:lang w:val="es-ES"/>
        </w:rPr>
        <w:t xml:space="preserve">de </w:t>
      </w:r>
      <w:r w:rsidR="005501E6" w:rsidRPr="009863F2">
        <w:rPr>
          <w:rFonts w:ascii="Calibri Light" w:hAnsi="Calibri Light" w:cs="Arial"/>
          <w:sz w:val="24"/>
          <w:szCs w:val="24"/>
          <w:lang w:val="es-ES"/>
        </w:rPr>
        <w:t xml:space="preserve">la </w:t>
      </w:r>
      <w:r w:rsidR="00A81126" w:rsidRPr="009863F2">
        <w:rPr>
          <w:rFonts w:ascii="Calibri Light" w:hAnsi="Calibri Light" w:cs="Arial"/>
          <w:sz w:val="24"/>
          <w:szCs w:val="24"/>
          <w:lang w:val="es-ES"/>
        </w:rPr>
        <w:t>problemática</w:t>
      </w:r>
      <w:r w:rsidR="00332D6C" w:rsidRPr="009863F2">
        <w:rPr>
          <w:rFonts w:ascii="Calibri Light" w:hAnsi="Calibri Light" w:cs="Arial"/>
          <w:sz w:val="24"/>
          <w:szCs w:val="24"/>
          <w:lang w:val="es-ES"/>
        </w:rPr>
        <w:t xml:space="preserve"> de</w:t>
      </w:r>
      <w:r w:rsidR="00B7534B" w:rsidRPr="009863F2">
        <w:rPr>
          <w:rFonts w:ascii="Calibri Light" w:hAnsi="Calibri Light" w:cs="Arial"/>
          <w:sz w:val="24"/>
          <w:szCs w:val="24"/>
          <w:lang w:val="es-ES"/>
        </w:rPr>
        <w:t>l</w:t>
      </w:r>
      <w:r w:rsidR="00332D6C" w:rsidRPr="009863F2">
        <w:rPr>
          <w:rFonts w:ascii="Calibri Light" w:hAnsi="Calibri Light" w:cs="Arial"/>
          <w:sz w:val="24"/>
          <w:szCs w:val="24"/>
          <w:lang w:val="es-ES"/>
        </w:rPr>
        <w:t xml:space="preserve"> financiamiento</w:t>
      </w:r>
      <w:r w:rsidR="00B7534B" w:rsidRPr="009863F2">
        <w:rPr>
          <w:rFonts w:ascii="Calibri Light" w:hAnsi="Calibri Light" w:cs="Arial"/>
          <w:sz w:val="24"/>
          <w:szCs w:val="24"/>
          <w:lang w:val="es-ES"/>
        </w:rPr>
        <w:t>,</w:t>
      </w:r>
      <w:r w:rsidR="00332D6C" w:rsidRPr="009863F2">
        <w:rPr>
          <w:rFonts w:ascii="Calibri Light" w:hAnsi="Calibri Light" w:cs="Arial"/>
          <w:sz w:val="24"/>
          <w:szCs w:val="24"/>
          <w:lang w:val="es-ES"/>
        </w:rPr>
        <w:t xml:space="preserve"> </w:t>
      </w:r>
      <w:r w:rsidR="00A81126" w:rsidRPr="009863F2">
        <w:rPr>
          <w:rFonts w:ascii="Calibri Light" w:hAnsi="Calibri Light" w:cs="Arial"/>
          <w:sz w:val="24"/>
          <w:szCs w:val="24"/>
          <w:lang w:val="es-ES"/>
        </w:rPr>
        <w:t xml:space="preserve">así como </w:t>
      </w:r>
      <w:r w:rsidR="00B7534B" w:rsidRPr="009863F2">
        <w:rPr>
          <w:rFonts w:ascii="Calibri Light" w:hAnsi="Calibri Light" w:cs="Arial"/>
          <w:sz w:val="24"/>
          <w:szCs w:val="24"/>
          <w:lang w:val="es-ES"/>
        </w:rPr>
        <w:t xml:space="preserve">también de </w:t>
      </w:r>
      <w:r w:rsidR="00A81126" w:rsidRPr="009863F2">
        <w:rPr>
          <w:rFonts w:ascii="Calibri Light" w:hAnsi="Calibri Light" w:cs="Arial"/>
          <w:sz w:val="24"/>
          <w:szCs w:val="24"/>
          <w:lang w:val="es-ES"/>
        </w:rPr>
        <w:t>las intervenciones relacionadas</w:t>
      </w:r>
      <w:r w:rsidR="00B7534B" w:rsidRPr="009863F2">
        <w:rPr>
          <w:rFonts w:ascii="Calibri Light" w:hAnsi="Calibri Light" w:cs="Arial"/>
          <w:sz w:val="24"/>
          <w:szCs w:val="24"/>
          <w:lang w:val="es-ES"/>
        </w:rPr>
        <w:t>,</w:t>
      </w:r>
      <w:r w:rsidR="00CB3D5A" w:rsidRPr="009863F2">
        <w:rPr>
          <w:rFonts w:ascii="Calibri Light" w:hAnsi="Calibri Light" w:cs="Arial"/>
          <w:sz w:val="24"/>
          <w:szCs w:val="24"/>
          <w:lang w:val="es-ES"/>
        </w:rPr>
        <w:t xml:space="preserve"> teniendo en cuenta las diferentes características de desarrollo de </w:t>
      </w:r>
      <w:r w:rsidR="00B7534B" w:rsidRPr="009863F2">
        <w:rPr>
          <w:rFonts w:ascii="Calibri Light" w:hAnsi="Calibri Light" w:cs="Arial"/>
          <w:sz w:val="24"/>
          <w:szCs w:val="24"/>
          <w:lang w:val="es-ES"/>
        </w:rPr>
        <w:t xml:space="preserve">la </w:t>
      </w:r>
      <w:r w:rsidR="00CB3D5A" w:rsidRPr="009863F2">
        <w:rPr>
          <w:rFonts w:ascii="Calibri Light" w:hAnsi="Calibri Light" w:cs="Arial"/>
          <w:sz w:val="24"/>
          <w:szCs w:val="24"/>
          <w:lang w:val="es-ES"/>
        </w:rPr>
        <w:t>región</w:t>
      </w:r>
      <w:r w:rsidR="00332D6C" w:rsidRPr="009863F2">
        <w:rPr>
          <w:rFonts w:ascii="Calibri Light" w:hAnsi="Calibri Light" w:cs="Arial"/>
          <w:sz w:val="24"/>
          <w:szCs w:val="24"/>
          <w:lang w:val="es-ES"/>
        </w:rPr>
        <w:t>.</w:t>
      </w:r>
      <w:r w:rsidR="00A81126" w:rsidRPr="009863F2">
        <w:rPr>
          <w:rFonts w:ascii="Calibri Light" w:hAnsi="Calibri Light" w:cs="Arial"/>
          <w:sz w:val="24"/>
          <w:szCs w:val="24"/>
          <w:lang w:val="es-ES"/>
        </w:rPr>
        <w:t xml:space="preserve"> </w:t>
      </w:r>
    </w:p>
    <w:p w14:paraId="342A0197" w14:textId="77777777" w:rsidR="00633907" w:rsidRPr="009863F2" w:rsidRDefault="00633907" w:rsidP="009863F2">
      <w:pPr>
        <w:spacing w:after="0" w:line="240" w:lineRule="auto"/>
        <w:rPr>
          <w:rFonts w:ascii="Calibri Light" w:hAnsi="Calibri Light" w:cs="Arial"/>
          <w:sz w:val="24"/>
          <w:szCs w:val="24"/>
          <w:lang w:val="es-ES_tradnl"/>
        </w:rPr>
      </w:pPr>
    </w:p>
    <w:p w14:paraId="4A8BCA0F" w14:textId="77777777" w:rsidR="00BC6E70" w:rsidRPr="009863F2" w:rsidRDefault="00BC6E70" w:rsidP="009863F2">
      <w:pPr>
        <w:spacing w:after="0" w:line="240" w:lineRule="auto"/>
        <w:rPr>
          <w:rFonts w:ascii="Calibri Light" w:hAnsi="Calibri Light" w:cs="Arial"/>
          <w:sz w:val="24"/>
          <w:szCs w:val="24"/>
          <w:lang w:val="es-ES_tradnl"/>
        </w:rPr>
        <w:sectPr w:rsidR="00BC6E70" w:rsidRPr="009863F2" w:rsidSect="00D41E89">
          <w:headerReference w:type="default" r:id="rId12"/>
          <w:footerReference w:type="even" r:id="rId13"/>
          <w:footerReference w:type="default" r:id="rId14"/>
          <w:pgSz w:w="12240" w:h="15840"/>
          <w:pgMar w:top="1440" w:right="1440" w:bottom="1440" w:left="1440" w:header="720" w:footer="720" w:gutter="0"/>
          <w:cols w:space="720"/>
          <w:titlePg/>
          <w:docGrid w:linePitch="360"/>
        </w:sectPr>
      </w:pPr>
    </w:p>
    <w:p w14:paraId="6FD370DF" w14:textId="77777777" w:rsidR="00BC6E70" w:rsidRPr="009863F2" w:rsidRDefault="00BC6E70" w:rsidP="009863F2">
      <w:pPr>
        <w:pStyle w:val="Heading1"/>
        <w:numPr>
          <w:ilvl w:val="0"/>
          <w:numId w:val="1"/>
        </w:numPr>
        <w:spacing w:after="0" w:line="240" w:lineRule="auto"/>
        <w:contextualSpacing w:val="0"/>
        <w:rPr>
          <w:rFonts w:ascii="Calibri Light" w:hAnsi="Calibri Light" w:cs="Arial"/>
          <w:sz w:val="24"/>
          <w:szCs w:val="24"/>
        </w:rPr>
      </w:pPr>
      <w:bookmarkStart w:id="6" w:name="_Toc477773135"/>
      <w:bookmarkStart w:id="7" w:name="_Toc504406832"/>
      <w:r w:rsidRPr="009863F2">
        <w:rPr>
          <w:rFonts w:ascii="Calibri Light" w:hAnsi="Calibri Light" w:cs="Arial"/>
          <w:sz w:val="24"/>
          <w:szCs w:val="24"/>
        </w:rPr>
        <w:lastRenderedPageBreak/>
        <w:t>LAS NECESIDADES DE FINANCIAMIENTO DEL MERCADO DE VIVIENDA</w:t>
      </w:r>
      <w:bookmarkEnd w:id="6"/>
      <w:bookmarkEnd w:id="7"/>
    </w:p>
    <w:p w14:paraId="24BF052F" w14:textId="77777777" w:rsidR="00AB6E92" w:rsidRDefault="00AB6E92" w:rsidP="00AB6E92">
      <w:pPr>
        <w:pStyle w:val="Heading2"/>
        <w:spacing w:before="0" w:line="240" w:lineRule="auto"/>
        <w:ind w:left="792"/>
        <w:rPr>
          <w:rFonts w:ascii="Calibri Light" w:hAnsi="Calibri Light" w:cs="Arial"/>
          <w:szCs w:val="24"/>
          <w:lang w:val="es-ES_tradnl"/>
        </w:rPr>
      </w:pPr>
      <w:bookmarkStart w:id="8" w:name="_Toc477773136"/>
    </w:p>
    <w:p w14:paraId="1D9E0989" w14:textId="0C11DFAF" w:rsidR="00BC6E70" w:rsidRPr="009863F2" w:rsidRDefault="00BC6E70" w:rsidP="009863F2">
      <w:pPr>
        <w:pStyle w:val="Heading2"/>
        <w:numPr>
          <w:ilvl w:val="1"/>
          <w:numId w:val="1"/>
        </w:numPr>
        <w:spacing w:before="0" w:line="240" w:lineRule="auto"/>
        <w:rPr>
          <w:rFonts w:ascii="Calibri Light" w:hAnsi="Calibri Light" w:cs="Arial"/>
          <w:szCs w:val="24"/>
          <w:lang w:val="es-ES_tradnl"/>
        </w:rPr>
      </w:pPr>
      <w:bookmarkStart w:id="9" w:name="_Toc504406833"/>
      <w:r w:rsidRPr="009863F2">
        <w:rPr>
          <w:rFonts w:ascii="Calibri Light" w:hAnsi="Calibri Light" w:cs="Arial"/>
          <w:szCs w:val="24"/>
          <w:lang w:val="es-ES_tradnl"/>
        </w:rPr>
        <w:t xml:space="preserve">Mercados financieros: </w:t>
      </w:r>
      <w:r w:rsidR="00B7534B" w:rsidRPr="009863F2">
        <w:rPr>
          <w:rFonts w:ascii="Calibri Light" w:hAnsi="Calibri Light" w:cs="Arial"/>
          <w:szCs w:val="24"/>
          <w:lang w:val="es-ES_tradnl"/>
        </w:rPr>
        <w:t>f</w:t>
      </w:r>
      <w:r w:rsidRPr="009863F2">
        <w:rPr>
          <w:rFonts w:ascii="Calibri Light" w:hAnsi="Calibri Light" w:cs="Arial"/>
          <w:szCs w:val="24"/>
          <w:lang w:val="es-ES_tradnl"/>
        </w:rPr>
        <w:t xml:space="preserve">inanciamiento para promover y profundizar la participación del mercado de capitales y las </w:t>
      </w:r>
      <w:bookmarkEnd w:id="8"/>
      <w:r w:rsidR="00E763B6" w:rsidRPr="009863F2">
        <w:rPr>
          <w:rFonts w:ascii="Calibri Light" w:hAnsi="Calibri Light" w:cs="Arial"/>
          <w:szCs w:val="24"/>
          <w:lang w:val="es-ES_tradnl"/>
        </w:rPr>
        <w:t>instituciones financieras</w:t>
      </w:r>
      <w:bookmarkEnd w:id="9"/>
    </w:p>
    <w:p w14:paraId="52E07D3F" w14:textId="77777777" w:rsidR="00F27970" w:rsidRPr="009863F2" w:rsidRDefault="00F27970" w:rsidP="009863F2">
      <w:pPr>
        <w:pStyle w:val="Heading3"/>
        <w:spacing w:line="240" w:lineRule="auto"/>
        <w:rPr>
          <w:rFonts w:ascii="Calibri Light" w:hAnsi="Calibri Light" w:cs="Arial"/>
          <w:sz w:val="24"/>
          <w:szCs w:val="24"/>
          <w:lang w:val="es-ES_tradnl"/>
        </w:rPr>
      </w:pPr>
    </w:p>
    <w:p w14:paraId="0931C7BC" w14:textId="77777777"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Contexto general</w:t>
      </w:r>
    </w:p>
    <w:p w14:paraId="55C835B6" w14:textId="72FF0743" w:rsidR="00E30619"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En gran parte de la región</w:t>
      </w:r>
      <w:r w:rsidR="003D0906"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3D0906" w:rsidRPr="009863F2">
        <w:rPr>
          <w:rFonts w:ascii="Calibri Light" w:hAnsi="Calibri Light" w:cs="Arial"/>
          <w:sz w:val="24"/>
          <w:szCs w:val="24"/>
          <w:lang w:val="es-ES_tradnl"/>
        </w:rPr>
        <w:t xml:space="preserve">los </w:t>
      </w:r>
      <w:r w:rsidRPr="009863F2">
        <w:rPr>
          <w:rFonts w:ascii="Calibri Light" w:hAnsi="Calibri Light" w:cs="Arial"/>
          <w:sz w:val="24"/>
          <w:szCs w:val="24"/>
          <w:lang w:val="es-ES_tradnl"/>
        </w:rPr>
        <w:t xml:space="preserve">sistemas financieros </w:t>
      </w:r>
      <w:r w:rsidR="005B6649" w:rsidRPr="009863F2">
        <w:rPr>
          <w:rFonts w:ascii="Calibri Light" w:hAnsi="Calibri Light" w:cs="Arial"/>
          <w:sz w:val="24"/>
          <w:szCs w:val="24"/>
          <w:lang w:val="es-ES_tradnl"/>
        </w:rPr>
        <w:t xml:space="preserve">(intermediación financiera y mercado de capitales) </w:t>
      </w:r>
      <w:r w:rsidR="00E30619" w:rsidRPr="009863F2">
        <w:rPr>
          <w:rFonts w:ascii="Calibri Light" w:hAnsi="Calibri Light" w:cs="Arial"/>
          <w:sz w:val="24"/>
          <w:szCs w:val="24"/>
          <w:lang w:val="es-ES_tradnl"/>
        </w:rPr>
        <w:t>no han alcanzado un adecuado desarrollo en cuanto a</w:t>
      </w:r>
      <w:r w:rsidR="005B6649" w:rsidRPr="009863F2">
        <w:rPr>
          <w:rFonts w:ascii="Calibri Light" w:hAnsi="Calibri Light" w:cs="Arial"/>
          <w:sz w:val="24"/>
          <w:szCs w:val="24"/>
          <w:lang w:val="es-ES_tradnl"/>
        </w:rPr>
        <w:t>l</w:t>
      </w:r>
      <w:r w:rsidR="00E30619" w:rsidRPr="009863F2">
        <w:rPr>
          <w:rFonts w:ascii="Calibri Light" w:hAnsi="Calibri Light" w:cs="Arial"/>
          <w:sz w:val="24"/>
          <w:szCs w:val="24"/>
          <w:lang w:val="es-ES_tradnl"/>
        </w:rPr>
        <w:t xml:space="preserve"> alcance y </w:t>
      </w:r>
      <w:r w:rsidR="00B7534B" w:rsidRPr="009863F2">
        <w:rPr>
          <w:rFonts w:ascii="Calibri Light" w:hAnsi="Calibri Light" w:cs="Arial"/>
          <w:sz w:val="24"/>
          <w:szCs w:val="24"/>
          <w:lang w:val="es-ES_tradnl"/>
        </w:rPr>
        <w:t xml:space="preserve">a la </w:t>
      </w:r>
      <w:r w:rsidR="00E30619" w:rsidRPr="009863F2">
        <w:rPr>
          <w:rFonts w:ascii="Calibri Light" w:hAnsi="Calibri Light" w:cs="Arial"/>
          <w:sz w:val="24"/>
          <w:szCs w:val="24"/>
          <w:lang w:val="es-ES_tradnl"/>
        </w:rPr>
        <w:t>cobertura de</w:t>
      </w:r>
      <w:r w:rsidR="005B6649" w:rsidRPr="009863F2">
        <w:rPr>
          <w:rFonts w:ascii="Calibri Light" w:hAnsi="Calibri Light" w:cs="Arial"/>
          <w:sz w:val="24"/>
          <w:szCs w:val="24"/>
          <w:lang w:val="es-ES_tradnl"/>
        </w:rPr>
        <w:t xml:space="preserve"> </w:t>
      </w:r>
      <w:r w:rsidR="00E30619" w:rsidRPr="009863F2">
        <w:rPr>
          <w:rFonts w:ascii="Calibri Light" w:hAnsi="Calibri Light" w:cs="Arial"/>
          <w:sz w:val="24"/>
          <w:szCs w:val="24"/>
          <w:lang w:val="es-ES_tradnl"/>
        </w:rPr>
        <w:t>l</w:t>
      </w:r>
      <w:r w:rsidR="005B6649" w:rsidRPr="009863F2">
        <w:rPr>
          <w:rFonts w:ascii="Calibri Light" w:hAnsi="Calibri Light" w:cs="Arial"/>
          <w:sz w:val="24"/>
          <w:szCs w:val="24"/>
          <w:lang w:val="es-ES_tradnl"/>
        </w:rPr>
        <w:t>as necesidades del</w:t>
      </w:r>
      <w:r w:rsidR="00E30619" w:rsidRPr="009863F2">
        <w:rPr>
          <w:rFonts w:ascii="Calibri Light" w:hAnsi="Calibri Light" w:cs="Arial"/>
          <w:sz w:val="24"/>
          <w:szCs w:val="24"/>
          <w:lang w:val="es-ES_tradnl"/>
        </w:rPr>
        <w:t xml:space="preserve"> sector privado</w:t>
      </w:r>
      <w:r w:rsidRPr="009863F2">
        <w:rPr>
          <w:rFonts w:ascii="Calibri Light" w:hAnsi="Calibri Light" w:cs="Arial"/>
          <w:sz w:val="24"/>
          <w:szCs w:val="24"/>
          <w:lang w:val="es-ES_tradnl"/>
        </w:rPr>
        <w:t xml:space="preserve">, sobre todo </w:t>
      </w:r>
      <w:r w:rsidR="005B6649" w:rsidRPr="009863F2">
        <w:rPr>
          <w:rFonts w:ascii="Calibri Light" w:hAnsi="Calibri Light" w:cs="Arial"/>
          <w:sz w:val="24"/>
          <w:szCs w:val="24"/>
          <w:lang w:val="es-ES_tradnl"/>
        </w:rPr>
        <w:t xml:space="preserve">en lo que respecta a la provisión de </w:t>
      </w:r>
      <w:r w:rsidRPr="009863F2">
        <w:rPr>
          <w:rFonts w:ascii="Calibri Light" w:hAnsi="Calibri Light" w:cs="Arial"/>
          <w:sz w:val="24"/>
          <w:szCs w:val="24"/>
          <w:lang w:val="es-ES_tradnl"/>
        </w:rPr>
        <w:t>recursos de mediano y largo plazo. E</w:t>
      </w:r>
      <w:r w:rsidR="00B7534B" w:rsidRPr="009863F2">
        <w:rPr>
          <w:rFonts w:ascii="Calibri Light" w:hAnsi="Calibri Light" w:cs="Arial"/>
          <w:sz w:val="24"/>
          <w:szCs w:val="24"/>
          <w:lang w:val="es-ES_tradnl"/>
        </w:rPr>
        <w:t>n el período 2006-12, e</w:t>
      </w:r>
      <w:r w:rsidRPr="009863F2">
        <w:rPr>
          <w:rFonts w:ascii="Calibri Light" w:hAnsi="Calibri Light" w:cs="Arial"/>
          <w:sz w:val="24"/>
          <w:szCs w:val="24"/>
          <w:lang w:val="es-ES_tradnl"/>
        </w:rPr>
        <w:t>l nivel de financiamiento promedio que el sistema bancario prove</w:t>
      </w:r>
      <w:r w:rsidR="00B7534B" w:rsidRPr="009863F2">
        <w:rPr>
          <w:rFonts w:ascii="Calibri Light" w:hAnsi="Calibri Light" w:cs="Arial"/>
          <w:sz w:val="24"/>
          <w:szCs w:val="24"/>
          <w:lang w:val="es-ES_tradnl"/>
        </w:rPr>
        <w:t>yó</w:t>
      </w:r>
      <w:r w:rsidRPr="009863F2">
        <w:rPr>
          <w:rFonts w:ascii="Calibri Light" w:hAnsi="Calibri Light" w:cs="Arial"/>
          <w:sz w:val="24"/>
          <w:szCs w:val="24"/>
          <w:lang w:val="es-ES_tradnl"/>
        </w:rPr>
        <w:t xml:space="preserve"> al sector privado en </w:t>
      </w:r>
      <w:r w:rsidR="00A4089E" w:rsidRPr="009863F2">
        <w:rPr>
          <w:rFonts w:ascii="Calibri Light" w:hAnsi="Calibri Light" w:cs="Arial"/>
          <w:sz w:val="24"/>
          <w:szCs w:val="24"/>
          <w:lang w:val="es-ES_tradnl"/>
        </w:rPr>
        <w:t>ALC</w:t>
      </w:r>
      <w:r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 xml:space="preserve">incluidos </w:t>
      </w:r>
      <w:r w:rsidRPr="009863F2">
        <w:rPr>
          <w:rFonts w:ascii="Calibri Light" w:hAnsi="Calibri Light" w:cs="Arial"/>
          <w:sz w:val="24"/>
          <w:szCs w:val="24"/>
          <w:lang w:val="es-ES_tradnl"/>
        </w:rPr>
        <w:t xml:space="preserve">individuos y </w:t>
      </w:r>
      <w:r w:rsidR="00F27970" w:rsidRPr="009863F2">
        <w:rPr>
          <w:rFonts w:ascii="Calibri Light" w:hAnsi="Calibri Light" w:cs="Arial"/>
          <w:sz w:val="24"/>
          <w:szCs w:val="24"/>
          <w:lang w:val="es-ES_tradnl"/>
        </w:rPr>
        <w:t>empresas, representó</w:t>
      </w:r>
      <w:r w:rsidRPr="009863F2">
        <w:rPr>
          <w:rFonts w:ascii="Calibri Light" w:hAnsi="Calibri Light" w:cs="Arial"/>
          <w:sz w:val="24"/>
          <w:szCs w:val="24"/>
          <w:lang w:val="es-ES_tradnl"/>
        </w:rPr>
        <w:t xml:space="preserve"> un 40% del</w:t>
      </w:r>
      <w:r w:rsidR="00B7534B" w:rsidRPr="009863F2">
        <w:rPr>
          <w:rFonts w:ascii="Calibri Light" w:hAnsi="Calibri Light" w:cs="Arial"/>
          <w:sz w:val="24"/>
          <w:szCs w:val="24"/>
          <w:lang w:val="es-ES_tradnl"/>
        </w:rPr>
        <w:t xml:space="preserve"> producto interno bruto</w:t>
      </w:r>
      <w:r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w:t>
      </w:r>
      <w:r w:rsidRPr="009863F2">
        <w:rPr>
          <w:rFonts w:ascii="Calibri Light" w:hAnsi="Calibri Light" w:cs="Arial"/>
          <w:sz w:val="24"/>
          <w:szCs w:val="24"/>
          <w:lang w:val="es-ES_tradnl"/>
        </w:rPr>
        <w:t>PIB</w:t>
      </w:r>
      <w:r w:rsidR="00B753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B7534B" w:rsidRPr="009863F2">
        <w:rPr>
          <w:rFonts w:ascii="Calibri Light" w:hAnsi="Calibri Light" w:cs="Arial"/>
          <w:sz w:val="24"/>
          <w:szCs w:val="24"/>
          <w:lang w:val="es-ES_tradnl"/>
        </w:rPr>
        <w:t xml:space="preserve">cifra </w:t>
      </w:r>
      <w:r w:rsidR="00E30619" w:rsidRPr="009863F2">
        <w:rPr>
          <w:rFonts w:ascii="Calibri Light" w:hAnsi="Calibri Light" w:cs="Arial"/>
          <w:sz w:val="24"/>
          <w:szCs w:val="24"/>
          <w:lang w:val="es-ES_tradnl"/>
        </w:rPr>
        <w:t>comparable al</w:t>
      </w:r>
      <w:r w:rsidRPr="009863F2">
        <w:rPr>
          <w:rFonts w:ascii="Calibri Light" w:hAnsi="Calibri Light" w:cs="Arial"/>
          <w:sz w:val="24"/>
          <w:szCs w:val="24"/>
          <w:lang w:val="es-ES_tradnl"/>
        </w:rPr>
        <w:t xml:space="preserve"> de otras regiones emergentes como Asia </w:t>
      </w:r>
      <w:r w:rsidR="00B7534B" w:rsidRPr="009863F2">
        <w:rPr>
          <w:rFonts w:ascii="Calibri Light" w:hAnsi="Calibri Light" w:cs="Arial"/>
          <w:sz w:val="24"/>
          <w:szCs w:val="24"/>
          <w:lang w:val="es-ES_tradnl"/>
        </w:rPr>
        <w:t>Meridional</w:t>
      </w:r>
      <w:r w:rsidRPr="009863F2">
        <w:rPr>
          <w:rFonts w:ascii="Calibri Light" w:hAnsi="Calibri Light" w:cs="Arial"/>
          <w:sz w:val="24"/>
          <w:szCs w:val="24"/>
          <w:lang w:val="es-ES_tradnl"/>
        </w:rPr>
        <w:t xml:space="preserve"> (42%), India (45%)</w:t>
      </w:r>
      <w:r w:rsidR="00B7534B" w:rsidRPr="009863F2">
        <w:rPr>
          <w:rFonts w:ascii="Calibri Light" w:hAnsi="Calibri Light" w:cs="Arial"/>
          <w:sz w:val="24"/>
          <w:szCs w:val="24"/>
          <w:lang w:val="es-ES_tradnl"/>
        </w:rPr>
        <w:t xml:space="preserve"> y</w:t>
      </w:r>
      <w:r w:rsidRPr="009863F2">
        <w:rPr>
          <w:rFonts w:ascii="Calibri Light" w:hAnsi="Calibri Light" w:cs="Arial"/>
          <w:sz w:val="24"/>
          <w:szCs w:val="24"/>
          <w:lang w:val="es-ES_tradnl"/>
        </w:rPr>
        <w:t xml:space="preserve"> África Sub</w:t>
      </w:r>
      <w:r w:rsidR="00B7534B" w:rsidRPr="009863F2">
        <w:rPr>
          <w:rFonts w:ascii="Calibri Light" w:hAnsi="Calibri Light" w:cs="Arial"/>
          <w:sz w:val="24"/>
          <w:szCs w:val="24"/>
          <w:lang w:val="es-ES_tradnl"/>
        </w:rPr>
        <w:t>s</w:t>
      </w:r>
      <w:r w:rsidRPr="009863F2">
        <w:rPr>
          <w:rFonts w:ascii="Calibri Light" w:hAnsi="Calibri Light" w:cs="Arial"/>
          <w:sz w:val="24"/>
          <w:szCs w:val="24"/>
          <w:lang w:val="es-ES_tradnl"/>
        </w:rPr>
        <w:t xml:space="preserve">ahariana (60%), pero muy </w:t>
      </w:r>
      <w:r w:rsidR="00B7534B" w:rsidRPr="009863F2">
        <w:rPr>
          <w:rFonts w:ascii="Calibri Light" w:hAnsi="Calibri Light" w:cs="Arial"/>
          <w:sz w:val="24"/>
          <w:szCs w:val="24"/>
          <w:lang w:val="es-ES_tradnl"/>
        </w:rPr>
        <w:t>inferior al</w:t>
      </w:r>
      <w:r w:rsidR="00E30619"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125% </w:t>
      </w:r>
      <w:r w:rsidR="00B7534B"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 xml:space="preserve">Asia </w:t>
      </w:r>
      <w:r w:rsidR="00B7534B" w:rsidRPr="009863F2">
        <w:rPr>
          <w:rFonts w:ascii="Calibri Light" w:hAnsi="Calibri Light" w:cs="Arial"/>
          <w:sz w:val="24"/>
          <w:szCs w:val="24"/>
          <w:lang w:val="es-ES_tradnl"/>
        </w:rPr>
        <w:t>Oriental</w:t>
      </w:r>
      <w:r w:rsidRPr="009863F2">
        <w:rPr>
          <w:rFonts w:ascii="Calibri Light" w:hAnsi="Calibri Light" w:cs="Arial"/>
          <w:sz w:val="24"/>
          <w:szCs w:val="24"/>
          <w:lang w:val="es-ES_tradnl"/>
        </w:rPr>
        <w:t xml:space="preserve"> y</w:t>
      </w:r>
      <w:r w:rsidR="00B7534B" w:rsidRPr="009863F2">
        <w:rPr>
          <w:rFonts w:ascii="Calibri Light" w:hAnsi="Calibri Light" w:cs="Arial"/>
          <w:sz w:val="24"/>
          <w:szCs w:val="24"/>
          <w:lang w:val="es-ES_tradnl"/>
        </w:rPr>
        <w:t xml:space="preserve"> el</w:t>
      </w:r>
      <w:r w:rsidRPr="009863F2">
        <w:rPr>
          <w:rFonts w:ascii="Calibri Light" w:hAnsi="Calibri Light" w:cs="Arial"/>
          <w:sz w:val="24"/>
          <w:szCs w:val="24"/>
          <w:lang w:val="es-ES_tradnl"/>
        </w:rPr>
        <w:t xml:space="preserve"> Pacifico, </w:t>
      </w:r>
      <w:r w:rsidR="00B7534B" w:rsidRPr="009863F2">
        <w:rPr>
          <w:rFonts w:ascii="Calibri Light" w:hAnsi="Calibri Light" w:cs="Arial"/>
          <w:sz w:val="24"/>
          <w:szCs w:val="24"/>
          <w:lang w:val="es-ES_tradnl"/>
        </w:rPr>
        <w:t xml:space="preserve">al </w:t>
      </w:r>
      <w:r w:rsidRPr="009863F2">
        <w:rPr>
          <w:rFonts w:ascii="Calibri Light" w:hAnsi="Calibri Light" w:cs="Arial"/>
          <w:sz w:val="24"/>
          <w:szCs w:val="24"/>
          <w:lang w:val="es-ES_tradnl"/>
        </w:rPr>
        <w:t xml:space="preserve">135% </w:t>
      </w:r>
      <w:r w:rsidR="00B7534B"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 xml:space="preserve">la zona del euro y </w:t>
      </w:r>
      <w:r w:rsidR="00B7534B" w:rsidRPr="009863F2">
        <w:rPr>
          <w:rFonts w:ascii="Calibri Light" w:hAnsi="Calibri Light" w:cs="Arial"/>
          <w:sz w:val="24"/>
          <w:szCs w:val="24"/>
          <w:lang w:val="es-ES_tradnl"/>
        </w:rPr>
        <w:t xml:space="preserve">al </w:t>
      </w:r>
      <w:r w:rsidRPr="009863F2">
        <w:rPr>
          <w:rFonts w:ascii="Calibri Light" w:hAnsi="Calibri Light" w:cs="Arial"/>
          <w:sz w:val="24"/>
          <w:szCs w:val="24"/>
          <w:lang w:val="es-ES_tradnl"/>
        </w:rPr>
        <w:t xml:space="preserve">200% </w:t>
      </w:r>
      <w:r w:rsidR="00B7534B" w:rsidRPr="009863F2">
        <w:rPr>
          <w:rFonts w:ascii="Calibri Light" w:hAnsi="Calibri Light" w:cs="Arial"/>
          <w:sz w:val="24"/>
          <w:szCs w:val="24"/>
          <w:lang w:val="es-ES_tradnl"/>
        </w:rPr>
        <w:t>de</w:t>
      </w:r>
      <w:r w:rsidRPr="009863F2">
        <w:rPr>
          <w:rFonts w:ascii="Calibri Light" w:hAnsi="Calibri Light" w:cs="Arial"/>
          <w:sz w:val="24"/>
          <w:szCs w:val="24"/>
          <w:lang w:val="es-ES_tradnl"/>
        </w:rPr>
        <w:t xml:space="preserve"> Estados Unidos</w:t>
      </w:r>
      <w:r w:rsidR="00B7534B" w:rsidRPr="009863F2">
        <w:rPr>
          <w:rFonts w:ascii="Calibri Light" w:hAnsi="Calibri Light" w:cs="Arial"/>
          <w:sz w:val="24"/>
          <w:szCs w:val="24"/>
          <w:lang w:val="es-ES_tradnl"/>
        </w:rPr>
        <w:t>.</w:t>
      </w:r>
      <w:r w:rsidRPr="009863F2">
        <w:rPr>
          <w:rStyle w:val="FootnoteReference"/>
          <w:rFonts w:ascii="Calibri Light" w:hAnsi="Calibri Light" w:cs="Arial"/>
          <w:sz w:val="24"/>
          <w:szCs w:val="24"/>
          <w:lang w:val="es-ES_tradnl"/>
        </w:rPr>
        <w:footnoteReference w:id="5"/>
      </w:r>
      <w:r w:rsidR="00E30619" w:rsidRPr="009863F2">
        <w:rPr>
          <w:rFonts w:ascii="Calibri Light" w:hAnsi="Calibri Light" w:cs="Arial"/>
          <w:sz w:val="24"/>
          <w:szCs w:val="24"/>
          <w:lang w:val="es-ES_tradnl"/>
        </w:rPr>
        <w:t xml:space="preserve"> </w:t>
      </w:r>
      <w:r w:rsidR="006965D7" w:rsidRPr="009863F2">
        <w:rPr>
          <w:rFonts w:ascii="Calibri Light" w:hAnsi="Calibri Light" w:cs="Arial"/>
          <w:sz w:val="24"/>
          <w:szCs w:val="24"/>
          <w:lang w:val="es-ES_tradnl"/>
        </w:rPr>
        <w:t>E</w:t>
      </w:r>
      <w:r w:rsidR="00A4089E" w:rsidRPr="009863F2">
        <w:rPr>
          <w:rFonts w:ascii="Calibri Light" w:hAnsi="Calibri Light" w:cs="Arial"/>
          <w:sz w:val="24"/>
          <w:szCs w:val="24"/>
          <w:lang w:val="es-ES_tradnl"/>
        </w:rPr>
        <w:t xml:space="preserve">llo se suma </w:t>
      </w:r>
      <w:r w:rsidR="006965D7" w:rsidRPr="009863F2">
        <w:rPr>
          <w:rFonts w:ascii="Calibri Light" w:hAnsi="Calibri Light" w:cs="Arial"/>
          <w:sz w:val="24"/>
          <w:szCs w:val="24"/>
          <w:lang w:val="es-ES_tradnl"/>
        </w:rPr>
        <w:t xml:space="preserve">a </w:t>
      </w:r>
      <w:r w:rsidR="00E30619" w:rsidRPr="009863F2">
        <w:rPr>
          <w:rFonts w:ascii="Calibri Light" w:hAnsi="Calibri Light" w:cs="Arial"/>
          <w:sz w:val="24"/>
          <w:szCs w:val="24"/>
          <w:lang w:val="es-ES_tradnl"/>
        </w:rPr>
        <w:t>niveles de desarrollo de los mercados de capitales aún menores.</w:t>
      </w:r>
    </w:p>
    <w:p w14:paraId="0A81AD02" w14:textId="77777777" w:rsidR="00AB6E92" w:rsidRDefault="00AB6E92" w:rsidP="009863F2">
      <w:pPr>
        <w:spacing w:after="0" w:line="240" w:lineRule="auto"/>
        <w:jc w:val="both"/>
        <w:rPr>
          <w:rFonts w:ascii="Calibri Light" w:eastAsia="Calibri" w:hAnsi="Calibri Light" w:cs="Arial"/>
          <w:sz w:val="24"/>
          <w:szCs w:val="24"/>
          <w:lang w:val="es-ES_tradnl"/>
        </w:rPr>
      </w:pPr>
    </w:p>
    <w:p w14:paraId="7CC16CB7" w14:textId="4BEAD1DB" w:rsidR="00BC6E70" w:rsidRPr="009863F2" w:rsidRDefault="004F5283" w:rsidP="009863F2">
      <w:pPr>
        <w:spacing w:after="0" w:line="240" w:lineRule="auto"/>
        <w:jc w:val="both"/>
        <w:rPr>
          <w:rFonts w:ascii="Calibri Light" w:eastAsia="Calibri" w:hAnsi="Calibri Light" w:cs="Arial"/>
          <w:sz w:val="24"/>
          <w:szCs w:val="24"/>
          <w:lang w:val="es-ES_tradnl"/>
        </w:rPr>
      </w:pPr>
      <w:r w:rsidRPr="009863F2">
        <w:rPr>
          <w:rFonts w:ascii="Calibri Light" w:eastAsia="Calibri" w:hAnsi="Calibri Light" w:cs="Arial"/>
          <w:sz w:val="24"/>
          <w:szCs w:val="24"/>
          <w:lang w:val="es-ES_tradnl"/>
        </w:rPr>
        <w:t>En ALC, l</w:t>
      </w:r>
      <w:r w:rsidR="00353081" w:rsidRPr="009863F2">
        <w:rPr>
          <w:rFonts w:ascii="Calibri Light" w:eastAsia="Calibri" w:hAnsi="Calibri Light" w:cs="Arial"/>
          <w:sz w:val="24"/>
          <w:szCs w:val="24"/>
          <w:lang w:val="es-ES_tradnl"/>
        </w:rPr>
        <w:t xml:space="preserve">a </w:t>
      </w:r>
      <w:r w:rsidR="00E30619" w:rsidRPr="009863F2">
        <w:rPr>
          <w:rFonts w:ascii="Calibri Light" w:eastAsia="Calibri" w:hAnsi="Calibri Light" w:cs="Arial"/>
          <w:sz w:val="24"/>
          <w:szCs w:val="24"/>
          <w:lang w:val="es-ES_tradnl"/>
        </w:rPr>
        <w:t xml:space="preserve">aversión </w:t>
      </w:r>
      <w:r w:rsidR="005B6649" w:rsidRPr="009863F2">
        <w:rPr>
          <w:rFonts w:ascii="Calibri Light" w:eastAsia="Calibri" w:hAnsi="Calibri Light" w:cs="Arial"/>
          <w:sz w:val="24"/>
          <w:szCs w:val="24"/>
          <w:lang w:val="es-ES_tradnl"/>
        </w:rPr>
        <w:t>al riesgo por parte de los intermediarios financieros</w:t>
      </w:r>
      <w:r w:rsidR="00E30619" w:rsidRPr="009863F2">
        <w:rPr>
          <w:rFonts w:ascii="Calibri Light" w:eastAsia="Calibri" w:hAnsi="Calibri Light" w:cs="Arial"/>
          <w:sz w:val="24"/>
          <w:szCs w:val="24"/>
          <w:lang w:val="es-ES_tradnl"/>
        </w:rPr>
        <w:t xml:space="preserve"> </w:t>
      </w:r>
      <w:r w:rsidR="005B6649" w:rsidRPr="009863F2">
        <w:rPr>
          <w:rFonts w:ascii="Calibri Light" w:eastAsia="Calibri" w:hAnsi="Calibri Light" w:cs="Arial"/>
          <w:sz w:val="24"/>
          <w:szCs w:val="24"/>
          <w:lang w:val="es-ES_tradnl"/>
        </w:rPr>
        <w:t>favorece</w:t>
      </w:r>
      <w:r w:rsidR="00353081" w:rsidRPr="009863F2">
        <w:rPr>
          <w:rFonts w:ascii="Calibri Light" w:eastAsia="Calibri" w:hAnsi="Calibri Light" w:cs="Arial"/>
          <w:sz w:val="24"/>
          <w:szCs w:val="24"/>
          <w:lang w:val="es-ES_tradnl"/>
        </w:rPr>
        <w:t xml:space="preserve"> </w:t>
      </w:r>
      <w:r w:rsidR="00E30619" w:rsidRPr="009863F2">
        <w:rPr>
          <w:rFonts w:ascii="Calibri Light" w:eastAsia="Calibri" w:hAnsi="Calibri Light" w:cs="Arial"/>
          <w:sz w:val="24"/>
          <w:szCs w:val="24"/>
          <w:lang w:val="es-ES_tradnl"/>
        </w:rPr>
        <w:t xml:space="preserve">un evidente </w:t>
      </w:r>
      <w:r w:rsidR="00BC6E70" w:rsidRPr="009863F2">
        <w:rPr>
          <w:rFonts w:ascii="Calibri Light" w:eastAsia="Calibri" w:hAnsi="Calibri Light" w:cs="Arial"/>
          <w:sz w:val="24"/>
          <w:szCs w:val="24"/>
          <w:lang w:val="es-ES_tradnl"/>
        </w:rPr>
        <w:t>sesgo hacia los créditos comerciales y de consumo, con plazos cortos. Por ejemplo, para el per</w:t>
      </w:r>
      <w:r w:rsidRPr="009863F2">
        <w:rPr>
          <w:rFonts w:ascii="Calibri Light" w:eastAsia="Calibri" w:hAnsi="Calibri Light" w:cs="Arial"/>
          <w:sz w:val="24"/>
          <w:szCs w:val="24"/>
          <w:lang w:val="es-ES_tradnl"/>
        </w:rPr>
        <w:t>í</w:t>
      </w:r>
      <w:r w:rsidR="00BC6E70" w:rsidRPr="009863F2">
        <w:rPr>
          <w:rFonts w:ascii="Calibri Light" w:eastAsia="Calibri" w:hAnsi="Calibri Light" w:cs="Arial"/>
          <w:sz w:val="24"/>
          <w:szCs w:val="24"/>
          <w:lang w:val="es-ES_tradnl"/>
        </w:rPr>
        <w:t xml:space="preserve">odo 2008-09, de la cartera total de crédito </w:t>
      </w:r>
      <w:r w:rsidRPr="009863F2">
        <w:rPr>
          <w:rFonts w:ascii="Calibri Light" w:eastAsia="Calibri" w:hAnsi="Calibri Light" w:cs="Arial"/>
          <w:sz w:val="24"/>
          <w:szCs w:val="24"/>
          <w:lang w:val="es-ES_tradnl"/>
        </w:rPr>
        <w:t xml:space="preserve">de </w:t>
      </w:r>
      <w:r w:rsidR="00BC6E70" w:rsidRPr="009863F2">
        <w:rPr>
          <w:rFonts w:ascii="Calibri Light" w:eastAsia="Calibri" w:hAnsi="Calibri Light" w:cs="Arial"/>
          <w:sz w:val="24"/>
          <w:szCs w:val="24"/>
          <w:lang w:val="es-ES_tradnl"/>
        </w:rPr>
        <w:t>la región solo el 13% se destinaba a crédito hipotecario, mientras que el 60% correspondía a créditos comerciales</w:t>
      </w:r>
      <w:r w:rsidRPr="009863F2">
        <w:rPr>
          <w:rFonts w:ascii="Calibri Light" w:eastAsia="Calibri" w:hAnsi="Calibri Light" w:cs="Arial"/>
          <w:sz w:val="24"/>
          <w:szCs w:val="24"/>
          <w:lang w:val="es-ES_tradnl"/>
        </w:rPr>
        <w:t>,</w:t>
      </w:r>
      <w:r w:rsidR="00BC6E70" w:rsidRPr="009863F2">
        <w:rPr>
          <w:rFonts w:ascii="Calibri Light" w:eastAsia="Calibri" w:hAnsi="Calibri Light" w:cs="Arial"/>
          <w:sz w:val="24"/>
          <w:szCs w:val="24"/>
          <w:lang w:val="es-ES_tradnl"/>
        </w:rPr>
        <w:t xml:space="preserve"> y el resto a créditos de consumo. Al respecto, </w:t>
      </w:r>
      <w:r w:rsidR="00BC6E70" w:rsidRPr="009863F2">
        <w:rPr>
          <w:rFonts w:ascii="Calibri Light" w:hAnsi="Calibri Light" w:cs="Arial"/>
          <w:sz w:val="24"/>
          <w:szCs w:val="24"/>
          <w:lang w:val="es-ES_tradnl"/>
        </w:rPr>
        <w:t xml:space="preserve">la escasez de fuentes de </w:t>
      </w:r>
      <w:r w:rsidRPr="009863F2">
        <w:rPr>
          <w:rFonts w:ascii="Calibri Light" w:hAnsi="Calibri Light" w:cs="Arial"/>
          <w:sz w:val="24"/>
          <w:szCs w:val="24"/>
          <w:lang w:val="es-ES_tradnl"/>
        </w:rPr>
        <w:t xml:space="preserve">financiamiento </w:t>
      </w:r>
      <w:r w:rsidR="00BC6E70" w:rsidRPr="009863F2">
        <w:rPr>
          <w:rFonts w:ascii="Calibri Light" w:hAnsi="Calibri Light" w:cs="Arial"/>
          <w:sz w:val="24"/>
          <w:szCs w:val="24"/>
          <w:lang w:val="es-ES_tradnl"/>
        </w:rPr>
        <w:t xml:space="preserve">de mediano y largo plazo resulta ser una de las principales causas que limitan la participación de las </w:t>
      </w:r>
      <w:r w:rsidR="00353081" w:rsidRPr="009863F2">
        <w:rPr>
          <w:rFonts w:ascii="Calibri Light" w:eastAsia="Calibri" w:hAnsi="Calibri Light" w:cs="Arial"/>
          <w:sz w:val="24"/>
          <w:szCs w:val="24"/>
          <w:lang w:val="es-ES_tradnl"/>
        </w:rPr>
        <w:t xml:space="preserve">IF </w:t>
      </w:r>
      <w:r w:rsidR="00BC6E70" w:rsidRPr="009863F2">
        <w:rPr>
          <w:rFonts w:ascii="Calibri Light" w:hAnsi="Calibri Light" w:cs="Arial"/>
          <w:sz w:val="24"/>
          <w:szCs w:val="24"/>
          <w:lang w:val="es-ES_tradnl"/>
        </w:rPr>
        <w:t xml:space="preserve">en el financiamiento de </w:t>
      </w:r>
      <w:r w:rsidRPr="009863F2">
        <w:rPr>
          <w:rFonts w:ascii="Calibri Light" w:hAnsi="Calibri Light" w:cs="Arial"/>
          <w:sz w:val="24"/>
          <w:szCs w:val="24"/>
          <w:lang w:val="es-ES_tradnl"/>
        </w:rPr>
        <w:t xml:space="preserve">la </w:t>
      </w:r>
      <w:r w:rsidR="00BC6E70" w:rsidRPr="009863F2">
        <w:rPr>
          <w:rFonts w:ascii="Calibri Light" w:hAnsi="Calibri Light" w:cs="Arial"/>
          <w:sz w:val="24"/>
          <w:szCs w:val="24"/>
          <w:lang w:val="es-ES_tradnl"/>
        </w:rPr>
        <w:t>vivienda</w:t>
      </w:r>
      <w:r w:rsidR="00BC6E70" w:rsidRPr="009863F2">
        <w:rPr>
          <w:rFonts w:ascii="Calibri Light" w:eastAsia="Calibri" w:hAnsi="Calibri Light" w:cs="Arial"/>
          <w:sz w:val="24"/>
          <w:szCs w:val="24"/>
          <w:lang w:val="es-ES_tradnl"/>
        </w:rPr>
        <w:t xml:space="preserve"> (Vera y Titelman, 2013).</w:t>
      </w:r>
    </w:p>
    <w:p w14:paraId="59A4D04D" w14:textId="77777777" w:rsidR="00AB6E92" w:rsidRDefault="00AB6E92" w:rsidP="009863F2">
      <w:pPr>
        <w:spacing w:after="0" w:line="240" w:lineRule="auto"/>
        <w:jc w:val="both"/>
        <w:rPr>
          <w:rFonts w:ascii="Calibri Light" w:hAnsi="Calibri Light" w:cs="Arial"/>
          <w:sz w:val="24"/>
          <w:szCs w:val="24"/>
          <w:lang w:val="es-ES_tradnl"/>
        </w:rPr>
      </w:pPr>
    </w:p>
    <w:p w14:paraId="2374B460" w14:textId="27FE1628" w:rsidR="00BC6E70" w:rsidRPr="009863F2" w:rsidRDefault="00353081"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E</w:t>
      </w:r>
      <w:r w:rsidR="00BC6E70" w:rsidRPr="009863F2">
        <w:rPr>
          <w:rFonts w:ascii="Calibri Light" w:hAnsi="Calibri Light" w:cs="Arial"/>
          <w:sz w:val="24"/>
          <w:szCs w:val="24"/>
          <w:lang w:val="es-ES_tradnl"/>
        </w:rPr>
        <w:t xml:space="preserve">n la mayoría de los países de la región, </w:t>
      </w:r>
      <w:r w:rsidRPr="009863F2">
        <w:rPr>
          <w:rFonts w:ascii="Calibri Light" w:hAnsi="Calibri Light" w:cs="Arial"/>
          <w:sz w:val="24"/>
          <w:szCs w:val="24"/>
          <w:lang w:val="es-ES_tradnl"/>
        </w:rPr>
        <w:t xml:space="preserve">el mercado de capitales </w:t>
      </w:r>
      <w:r w:rsidR="00BC6E70" w:rsidRPr="009863F2">
        <w:rPr>
          <w:rFonts w:ascii="Calibri Light" w:hAnsi="Calibri Light" w:cs="Arial"/>
          <w:sz w:val="24"/>
          <w:szCs w:val="24"/>
          <w:lang w:val="es-ES_tradnl"/>
        </w:rPr>
        <w:t xml:space="preserve">aún no ha tenido un rol relevante en complementar estas fuentes de </w:t>
      </w:r>
      <w:r w:rsidR="004F5283" w:rsidRPr="009863F2">
        <w:rPr>
          <w:rFonts w:ascii="Calibri Light" w:hAnsi="Calibri Light" w:cs="Arial"/>
          <w:sz w:val="24"/>
          <w:szCs w:val="24"/>
          <w:lang w:val="es-ES_tradnl"/>
        </w:rPr>
        <w:t xml:space="preserve">financiamiento </w:t>
      </w:r>
      <w:r w:rsidR="00BC6E70" w:rsidRPr="009863F2">
        <w:rPr>
          <w:rFonts w:ascii="Calibri Light" w:hAnsi="Calibri Light" w:cs="Arial"/>
          <w:sz w:val="24"/>
          <w:szCs w:val="24"/>
          <w:lang w:val="es-ES_tradnl"/>
        </w:rPr>
        <w:t>y contribuir así a hacer frente a una demanda en constante crecimiento. La capitalización promedio de ALC en el per</w:t>
      </w:r>
      <w:r w:rsidR="004F5283" w:rsidRPr="009863F2">
        <w:rPr>
          <w:rFonts w:ascii="Calibri Light" w:hAnsi="Calibri Light" w:cs="Arial"/>
          <w:sz w:val="24"/>
          <w:szCs w:val="24"/>
          <w:lang w:val="es-ES_tradnl"/>
        </w:rPr>
        <w:t>í</w:t>
      </w:r>
      <w:r w:rsidR="00BC6E70" w:rsidRPr="009863F2">
        <w:rPr>
          <w:rFonts w:ascii="Calibri Light" w:hAnsi="Calibri Light" w:cs="Arial"/>
          <w:sz w:val="24"/>
          <w:szCs w:val="24"/>
          <w:lang w:val="es-ES_tradnl"/>
        </w:rPr>
        <w:t xml:space="preserve">odo 2006-11 se ubicó en </w:t>
      </w:r>
      <w:r w:rsidR="004F5283" w:rsidRPr="009863F2">
        <w:rPr>
          <w:rFonts w:ascii="Calibri Light" w:hAnsi="Calibri Light" w:cs="Arial"/>
          <w:sz w:val="24"/>
          <w:szCs w:val="24"/>
          <w:lang w:val="es-ES_tradnl"/>
        </w:rPr>
        <w:t xml:space="preserve">un </w:t>
      </w:r>
      <w:r w:rsidR="00BC6E70" w:rsidRPr="009863F2">
        <w:rPr>
          <w:rFonts w:ascii="Calibri Light" w:hAnsi="Calibri Light" w:cs="Arial"/>
          <w:sz w:val="24"/>
          <w:szCs w:val="24"/>
          <w:lang w:val="es-ES_tradnl"/>
        </w:rPr>
        <w:t>50% del PIB</w:t>
      </w:r>
      <w:r w:rsidR="00503F6C"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mientras que en países como Estados Unidos o Reino Unido se situó en torno al 120% del PIB. Por su parte</w:t>
      </w:r>
      <w:r w:rsidR="00503F6C"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en Asia </w:t>
      </w:r>
      <w:r w:rsidR="00503F6C" w:rsidRPr="009863F2">
        <w:rPr>
          <w:rFonts w:ascii="Calibri Light" w:hAnsi="Calibri Light" w:cs="Arial"/>
          <w:sz w:val="24"/>
          <w:szCs w:val="24"/>
          <w:lang w:val="es-ES_tradnl"/>
        </w:rPr>
        <w:t>Oriental</w:t>
      </w:r>
      <w:r w:rsidR="00BC6E70" w:rsidRPr="009863F2">
        <w:rPr>
          <w:rFonts w:ascii="Calibri Light" w:hAnsi="Calibri Light" w:cs="Arial"/>
          <w:sz w:val="24"/>
          <w:szCs w:val="24"/>
          <w:lang w:val="es-ES_tradnl"/>
        </w:rPr>
        <w:t xml:space="preserve"> y</w:t>
      </w:r>
      <w:r w:rsidR="00503F6C" w:rsidRPr="009863F2">
        <w:rPr>
          <w:rFonts w:ascii="Calibri Light" w:hAnsi="Calibri Light" w:cs="Arial"/>
          <w:sz w:val="24"/>
          <w:szCs w:val="24"/>
          <w:lang w:val="es-ES_tradnl"/>
        </w:rPr>
        <w:t xml:space="preserve"> el</w:t>
      </w:r>
      <w:r w:rsidR="00BC6E70" w:rsidRPr="009863F2">
        <w:rPr>
          <w:rFonts w:ascii="Calibri Light" w:hAnsi="Calibri Light" w:cs="Arial"/>
          <w:sz w:val="24"/>
          <w:szCs w:val="24"/>
          <w:lang w:val="es-ES_tradnl"/>
        </w:rPr>
        <w:t xml:space="preserve"> Pacífico</w:t>
      </w:r>
      <w:r w:rsidR="00503F6C" w:rsidRPr="009863F2">
        <w:rPr>
          <w:rFonts w:ascii="Calibri Light" w:hAnsi="Calibri Light" w:cs="Arial"/>
          <w:sz w:val="24"/>
          <w:szCs w:val="24"/>
          <w:lang w:val="es-ES_tradnl"/>
        </w:rPr>
        <w:t>, la cifra</w:t>
      </w:r>
      <w:r w:rsidR="00BC6E70" w:rsidRPr="009863F2">
        <w:rPr>
          <w:rFonts w:ascii="Calibri Light" w:hAnsi="Calibri Light" w:cs="Arial"/>
          <w:sz w:val="24"/>
          <w:szCs w:val="24"/>
          <w:lang w:val="es-ES_tradnl"/>
        </w:rPr>
        <w:t xml:space="preserve"> </w:t>
      </w:r>
      <w:r w:rsidR="00503F6C" w:rsidRPr="009863F2">
        <w:rPr>
          <w:rFonts w:ascii="Calibri Light" w:hAnsi="Calibri Light" w:cs="Arial"/>
          <w:sz w:val="24"/>
          <w:szCs w:val="24"/>
          <w:lang w:val="es-ES_tradnl"/>
        </w:rPr>
        <w:t>ascendió a</w:t>
      </w:r>
      <w:r w:rsidR="00BC6E70" w:rsidRPr="009863F2">
        <w:rPr>
          <w:rFonts w:ascii="Calibri Light" w:hAnsi="Calibri Light" w:cs="Arial"/>
          <w:sz w:val="24"/>
          <w:szCs w:val="24"/>
          <w:lang w:val="es-ES_tradnl"/>
        </w:rPr>
        <w:t xml:space="preserve"> </w:t>
      </w:r>
      <w:r w:rsidR="00503F6C" w:rsidRPr="009863F2">
        <w:rPr>
          <w:rFonts w:ascii="Calibri Light" w:hAnsi="Calibri Light" w:cs="Arial"/>
          <w:sz w:val="24"/>
          <w:szCs w:val="24"/>
          <w:lang w:val="es-ES_tradnl"/>
        </w:rPr>
        <w:t xml:space="preserve">un </w:t>
      </w:r>
      <w:r w:rsidR="00BC6E70" w:rsidRPr="009863F2">
        <w:rPr>
          <w:rFonts w:ascii="Calibri Light" w:hAnsi="Calibri Light" w:cs="Arial"/>
          <w:sz w:val="24"/>
          <w:szCs w:val="24"/>
          <w:lang w:val="es-ES_tradnl"/>
        </w:rPr>
        <w:t xml:space="preserve">86% del PIB (aun cuando el PIB per cápita en dicha región fue más de un 40% menor que el de ALC en el mismo período). De igual forma, en Asia </w:t>
      </w:r>
      <w:r w:rsidR="0045081F" w:rsidRPr="009863F2">
        <w:rPr>
          <w:rFonts w:ascii="Calibri Light" w:hAnsi="Calibri Light" w:cs="Arial"/>
          <w:sz w:val="24"/>
          <w:szCs w:val="24"/>
          <w:lang w:val="es-ES_tradnl"/>
        </w:rPr>
        <w:t>Meridional</w:t>
      </w:r>
      <w:r w:rsidR="00BC6E70" w:rsidRPr="009863F2">
        <w:rPr>
          <w:rFonts w:ascii="Calibri Light" w:hAnsi="Calibri Light" w:cs="Arial"/>
          <w:sz w:val="24"/>
          <w:szCs w:val="24"/>
          <w:lang w:val="es-ES_tradnl"/>
        </w:rPr>
        <w:t xml:space="preserve"> el PIB per cápita entre 2006 y 2011 fue menor al de ALC en más de un 70</w:t>
      </w:r>
      <w:r w:rsidR="0045081F"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y sin embargo su nivel de capitalización bursátil fue </w:t>
      </w:r>
      <w:r w:rsidR="0045081F" w:rsidRPr="009863F2">
        <w:rPr>
          <w:rFonts w:ascii="Calibri Light" w:hAnsi="Calibri Light" w:cs="Arial"/>
          <w:sz w:val="24"/>
          <w:szCs w:val="24"/>
          <w:lang w:val="es-ES_tradnl"/>
        </w:rPr>
        <w:t xml:space="preserve">un </w:t>
      </w:r>
      <w:r w:rsidR="00BC6E70" w:rsidRPr="009863F2">
        <w:rPr>
          <w:rFonts w:ascii="Calibri Light" w:hAnsi="Calibri Light" w:cs="Arial"/>
          <w:sz w:val="24"/>
          <w:szCs w:val="24"/>
          <w:lang w:val="es-ES_tradnl"/>
        </w:rPr>
        <w:t>25% mayor</w:t>
      </w:r>
      <w:r w:rsidR="00BC6E70" w:rsidRPr="009863F2">
        <w:rPr>
          <w:rFonts w:ascii="Calibri Light" w:eastAsia="Calibri" w:hAnsi="Calibri Light" w:cs="Arial"/>
          <w:sz w:val="24"/>
          <w:szCs w:val="24"/>
          <w:lang w:val="es-ES_tradnl"/>
        </w:rPr>
        <w:t xml:space="preserve"> (Vera y Titelman, 2013)</w:t>
      </w:r>
      <w:r w:rsidR="00BC6E70" w:rsidRPr="009863F2">
        <w:rPr>
          <w:rFonts w:ascii="Calibri Light" w:hAnsi="Calibri Light" w:cs="Arial"/>
          <w:sz w:val="24"/>
          <w:szCs w:val="24"/>
          <w:lang w:val="es-ES_tradnl"/>
        </w:rPr>
        <w:t>.</w:t>
      </w:r>
    </w:p>
    <w:p w14:paraId="08464262" w14:textId="77777777" w:rsidR="00AB6E92" w:rsidRDefault="00AB6E92" w:rsidP="009863F2">
      <w:pPr>
        <w:spacing w:after="0" w:line="240" w:lineRule="auto"/>
        <w:rPr>
          <w:rFonts w:ascii="Calibri Light" w:hAnsi="Calibri Light" w:cs="Arial"/>
          <w:b/>
          <w:i/>
          <w:sz w:val="24"/>
          <w:szCs w:val="24"/>
          <w:lang w:val="es-ES_tradnl"/>
        </w:rPr>
      </w:pPr>
    </w:p>
    <w:p w14:paraId="4F387F25" w14:textId="3AA287F3" w:rsidR="00BC6E70" w:rsidRPr="009863F2" w:rsidRDefault="0045081F"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La p</w:t>
      </w:r>
      <w:r w:rsidR="00BC6E70" w:rsidRPr="009863F2">
        <w:rPr>
          <w:rFonts w:ascii="Calibri Light" w:hAnsi="Calibri Light" w:cs="Arial"/>
          <w:b/>
          <w:i/>
          <w:sz w:val="24"/>
          <w:szCs w:val="24"/>
          <w:lang w:val="es-ES_tradnl"/>
        </w:rPr>
        <w:t>roblemática del financiamiento</w:t>
      </w:r>
    </w:p>
    <w:p w14:paraId="45729817" w14:textId="3F3019FD" w:rsidR="00944C6D" w:rsidRPr="009863F2" w:rsidRDefault="00944C6D"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Una de las </w:t>
      </w:r>
      <w:r w:rsidR="005B04E5" w:rsidRPr="009863F2">
        <w:rPr>
          <w:rFonts w:ascii="Calibri Light" w:hAnsi="Calibri Light" w:cs="Arial"/>
          <w:sz w:val="24"/>
          <w:szCs w:val="24"/>
          <w:lang w:val="es-ES_tradnl"/>
        </w:rPr>
        <w:t>limitaciones (</w:t>
      </w:r>
      <w:r w:rsidRPr="009863F2">
        <w:rPr>
          <w:rFonts w:ascii="Calibri Light" w:hAnsi="Calibri Light" w:cs="Arial"/>
          <w:sz w:val="24"/>
          <w:szCs w:val="24"/>
          <w:lang w:val="es-ES_tradnl"/>
        </w:rPr>
        <w:t>tal vez la más importante en términos de riesgo)</w:t>
      </w:r>
      <w:r w:rsidR="0045081F"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r w:rsidR="00BC6E70" w:rsidRPr="009863F2">
        <w:rPr>
          <w:rFonts w:ascii="Calibri Light" w:hAnsi="Calibri Light" w:cs="Arial"/>
          <w:sz w:val="24"/>
          <w:szCs w:val="24"/>
          <w:lang w:val="es-ES_tradnl"/>
        </w:rPr>
        <w:t>que previene a las IF de incrementar su volumen de financiamiento de viviendas</w:t>
      </w:r>
      <w:r w:rsidR="0045081F"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es el descalce de plazo. Mientras </w:t>
      </w:r>
      <w:r w:rsidR="0045081F" w:rsidRPr="009863F2">
        <w:rPr>
          <w:rFonts w:ascii="Calibri Light" w:hAnsi="Calibri Light" w:cs="Arial"/>
          <w:sz w:val="24"/>
          <w:szCs w:val="24"/>
          <w:lang w:val="es-ES_tradnl"/>
        </w:rPr>
        <w:t xml:space="preserve">que </w:t>
      </w:r>
      <w:r w:rsidR="00BC6E70" w:rsidRPr="009863F2">
        <w:rPr>
          <w:rFonts w:ascii="Calibri Light" w:hAnsi="Calibri Light" w:cs="Arial"/>
          <w:sz w:val="24"/>
          <w:szCs w:val="24"/>
          <w:lang w:val="es-ES_tradnl"/>
        </w:rPr>
        <w:t xml:space="preserve">el promedio de plazo de la cartera activa hipotecaria </w:t>
      </w:r>
      <w:r w:rsidRPr="009863F2">
        <w:rPr>
          <w:rFonts w:ascii="Calibri Light" w:hAnsi="Calibri Light" w:cs="Arial"/>
          <w:sz w:val="24"/>
          <w:szCs w:val="24"/>
          <w:lang w:val="es-ES_tradnl"/>
        </w:rPr>
        <w:t xml:space="preserve">debería </w:t>
      </w:r>
      <w:r w:rsidR="00BC6E70" w:rsidRPr="009863F2">
        <w:rPr>
          <w:rFonts w:ascii="Calibri Light" w:hAnsi="Calibri Light" w:cs="Arial"/>
          <w:sz w:val="24"/>
          <w:szCs w:val="24"/>
          <w:lang w:val="es-ES_tradnl"/>
        </w:rPr>
        <w:t xml:space="preserve">rondar </w:t>
      </w:r>
      <w:r w:rsidRPr="009863F2">
        <w:rPr>
          <w:rFonts w:ascii="Calibri Light" w:hAnsi="Calibri Light" w:cs="Arial"/>
          <w:sz w:val="24"/>
          <w:szCs w:val="24"/>
          <w:lang w:val="es-ES_tradnl"/>
        </w:rPr>
        <w:t xml:space="preserve">entre </w:t>
      </w:r>
      <w:r w:rsidR="00BC6E70" w:rsidRPr="009863F2">
        <w:rPr>
          <w:rFonts w:ascii="Calibri Light" w:hAnsi="Calibri Light" w:cs="Arial"/>
          <w:sz w:val="24"/>
          <w:szCs w:val="24"/>
          <w:lang w:val="es-ES_tradnl"/>
        </w:rPr>
        <w:t xml:space="preserve">los 7 </w:t>
      </w:r>
      <w:r w:rsidR="0045081F" w:rsidRPr="009863F2">
        <w:rPr>
          <w:rFonts w:ascii="Calibri Light" w:hAnsi="Calibri Light" w:cs="Arial"/>
          <w:sz w:val="24"/>
          <w:szCs w:val="24"/>
          <w:lang w:val="es-ES_tradnl"/>
        </w:rPr>
        <w:t>y los</w:t>
      </w:r>
      <w:r w:rsidR="00BC6E70" w:rsidRPr="009863F2">
        <w:rPr>
          <w:rFonts w:ascii="Calibri Light" w:hAnsi="Calibri Light" w:cs="Arial"/>
          <w:sz w:val="24"/>
          <w:szCs w:val="24"/>
          <w:lang w:val="es-ES_tradnl"/>
        </w:rPr>
        <w:t xml:space="preserve"> 10 años</w:t>
      </w:r>
      <w:r w:rsidRPr="009863F2">
        <w:rPr>
          <w:rFonts w:ascii="Calibri Light" w:hAnsi="Calibri Light" w:cs="Arial"/>
          <w:sz w:val="24"/>
          <w:szCs w:val="24"/>
          <w:lang w:val="es-ES_tradnl"/>
        </w:rPr>
        <w:t xml:space="preserve"> (eventualmente, podría ser mayor)</w:t>
      </w:r>
      <w:r w:rsidR="00BC6E70" w:rsidRPr="009863F2">
        <w:rPr>
          <w:rFonts w:ascii="Calibri Light" w:hAnsi="Calibri Light" w:cs="Arial"/>
          <w:sz w:val="24"/>
          <w:szCs w:val="24"/>
          <w:lang w:val="es-ES_tradnl"/>
        </w:rPr>
        <w:t>, al contar con sistemas financieros cortoplacistas</w:t>
      </w:r>
      <w:r w:rsidR="0045081F"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en la mayoría de los países de la región, las captaciones únicamente alcanzan </w:t>
      </w:r>
      <w:r w:rsidR="001F1C83" w:rsidRPr="009863F2">
        <w:rPr>
          <w:rFonts w:ascii="Calibri Light" w:hAnsi="Calibri Light" w:cs="Arial"/>
          <w:sz w:val="24"/>
          <w:szCs w:val="24"/>
          <w:lang w:val="es-ES_tradnl"/>
        </w:rPr>
        <w:t>de</w:t>
      </w:r>
      <w:r w:rsidR="00BC6E70" w:rsidRPr="009863F2">
        <w:rPr>
          <w:rFonts w:ascii="Calibri Light" w:hAnsi="Calibri Light" w:cs="Arial"/>
          <w:sz w:val="24"/>
          <w:szCs w:val="24"/>
          <w:lang w:val="es-ES_tradnl"/>
        </w:rPr>
        <w:t xml:space="preserve"> 2 a 3 años en promedio (Vera y Pérez-Caldentey, 2015). </w:t>
      </w:r>
    </w:p>
    <w:p w14:paraId="5841888A" w14:textId="1842326F" w:rsidR="00D731D6" w:rsidRPr="009863F2" w:rsidRDefault="00224266"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lastRenderedPageBreak/>
        <w:t xml:space="preserve">Cabe recordar la crisis financiera de 2008 que se originó en Estados Unidos a partir de </w:t>
      </w:r>
      <w:r w:rsidR="004A3F69" w:rsidRPr="009863F2">
        <w:rPr>
          <w:rFonts w:ascii="Calibri Light" w:hAnsi="Calibri Light" w:cs="Arial"/>
          <w:sz w:val="24"/>
          <w:szCs w:val="24"/>
          <w:lang w:val="es-ES_tradnl"/>
        </w:rPr>
        <w:t xml:space="preserve">un crecimiento del sector inmobiliario </w:t>
      </w:r>
      <w:r w:rsidR="00C866ED" w:rsidRPr="009863F2">
        <w:rPr>
          <w:rFonts w:ascii="Calibri Light" w:hAnsi="Calibri Light" w:cs="Arial"/>
          <w:sz w:val="24"/>
          <w:szCs w:val="24"/>
          <w:lang w:val="es-ES_tradnl"/>
        </w:rPr>
        <w:t xml:space="preserve">que obedeció a </w:t>
      </w:r>
      <w:r w:rsidR="004A3F69" w:rsidRPr="009863F2">
        <w:rPr>
          <w:rFonts w:ascii="Calibri Light" w:hAnsi="Calibri Light" w:cs="Arial"/>
          <w:sz w:val="24"/>
          <w:szCs w:val="24"/>
          <w:lang w:val="es-ES_tradnl"/>
        </w:rPr>
        <w:t xml:space="preserve">una mayor demanda de crédito </w:t>
      </w:r>
      <w:r w:rsidRPr="009863F2">
        <w:rPr>
          <w:rFonts w:ascii="Calibri Light" w:hAnsi="Calibri Light" w:cs="Arial"/>
          <w:sz w:val="24"/>
          <w:szCs w:val="24"/>
          <w:lang w:val="es-ES_tradnl"/>
        </w:rPr>
        <w:t xml:space="preserve">de </w:t>
      </w:r>
      <w:r w:rsidR="004A3F69" w:rsidRPr="009863F2">
        <w:rPr>
          <w:rFonts w:ascii="Calibri Light" w:hAnsi="Calibri Light" w:cs="Arial"/>
          <w:sz w:val="24"/>
          <w:szCs w:val="24"/>
          <w:lang w:val="es-ES_tradnl"/>
        </w:rPr>
        <w:t>los usuarios finales</w:t>
      </w:r>
      <w:r w:rsidRPr="009863F2">
        <w:rPr>
          <w:rFonts w:ascii="Calibri Light" w:hAnsi="Calibri Light" w:cs="Arial"/>
          <w:sz w:val="24"/>
          <w:szCs w:val="24"/>
          <w:lang w:val="es-ES_tradnl"/>
        </w:rPr>
        <w:t xml:space="preserve"> y </w:t>
      </w:r>
      <w:r w:rsidR="00C866ED" w:rsidRPr="009863F2">
        <w:rPr>
          <w:rFonts w:ascii="Calibri Light" w:hAnsi="Calibri Light" w:cs="Arial"/>
          <w:sz w:val="24"/>
          <w:szCs w:val="24"/>
          <w:lang w:val="es-ES_tradnl"/>
        </w:rPr>
        <w:t xml:space="preserve">a </w:t>
      </w:r>
      <w:r w:rsidRPr="009863F2">
        <w:rPr>
          <w:rFonts w:ascii="Calibri Light" w:hAnsi="Calibri Light" w:cs="Arial"/>
          <w:sz w:val="24"/>
          <w:szCs w:val="24"/>
          <w:lang w:val="es-ES_tradnl"/>
        </w:rPr>
        <w:t xml:space="preserve">un </w:t>
      </w:r>
      <w:r w:rsidR="006A77BC" w:rsidRPr="009863F2">
        <w:rPr>
          <w:rFonts w:ascii="Calibri Light" w:hAnsi="Calibri Light" w:cs="Arial"/>
          <w:sz w:val="24"/>
          <w:szCs w:val="24"/>
          <w:lang w:val="es-ES_tradnl"/>
        </w:rPr>
        <w:t>creciente</w:t>
      </w:r>
      <w:r w:rsidR="004A3F69"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apetito por </w:t>
      </w:r>
      <w:r w:rsidR="006A77BC" w:rsidRPr="009863F2">
        <w:rPr>
          <w:rFonts w:ascii="Calibri Light" w:hAnsi="Calibri Light" w:cs="Arial"/>
          <w:sz w:val="24"/>
          <w:szCs w:val="24"/>
          <w:lang w:val="es-ES_tradnl"/>
        </w:rPr>
        <w:t xml:space="preserve">nuevos </w:t>
      </w:r>
      <w:r w:rsidR="004A3F69" w:rsidRPr="009863F2">
        <w:rPr>
          <w:rFonts w:ascii="Calibri Light" w:hAnsi="Calibri Light" w:cs="Arial"/>
          <w:sz w:val="24"/>
          <w:szCs w:val="24"/>
          <w:lang w:val="es-ES_tradnl"/>
        </w:rPr>
        <w:t>instrumentos de inversión por parte de los mercados financieros. Esta combinación de factores dio lugar a la creación de productos financieros estructurados sobre créditos hipotecarios de baja calidad</w:t>
      </w:r>
      <w:r w:rsidR="006A77BC" w:rsidRPr="009863F2">
        <w:rPr>
          <w:rFonts w:ascii="Calibri Light" w:hAnsi="Calibri Light" w:cs="Arial"/>
          <w:sz w:val="24"/>
          <w:szCs w:val="24"/>
          <w:lang w:val="es-ES_tradnl"/>
        </w:rPr>
        <w:t xml:space="preserve"> que trasladaron el </w:t>
      </w:r>
      <w:r w:rsidR="00C866ED" w:rsidRPr="009863F2">
        <w:rPr>
          <w:rFonts w:ascii="Calibri Light" w:hAnsi="Calibri Light" w:cs="Arial"/>
          <w:sz w:val="24"/>
          <w:szCs w:val="24"/>
          <w:lang w:val="es-ES_tradnl"/>
        </w:rPr>
        <w:t xml:space="preserve">financiamiento </w:t>
      </w:r>
      <w:r w:rsidRPr="009863F2">
        <w:rPr>
          <w:rFonts w:ascii="Calibri Light" w:hAnsi="Calibri Light" w:cs="Arial"/>
          <w:sz w:val="24"/>
          <w:szCs w:val="24"/>
          <w:lang w:val="es-ES_tradnl"/>
        </w:rPr>
        <w:t xml:space="preserve">y el riesgo </w:t>
      </w:r>
      <w:r w:rsidR="006A77BC"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 xml:space="preserve">las </w:t>
      </w:r>
      <w:r w:rsidR="006A77BC" w:rsidRPr="009863F2">
        <w:rPr>
          <w:rFonts w:ascii="Calibri Light" w:hAnsi="Calibri Light" w:cs="Arial"/>
          <w:sz w:val="24"/>
          <w:szCs w:val="24"/>
          <w:lang w:val="es-ES_tradnl"/>
        </w:rPr>
        <w:t xml:space="preserve">hipotecas </w:t>
      </w:r>
      <w:r w:rsidRPr="009863F2">
        <w:rPr>
          <w:rFonts w:ascii="Calibri Light" w:hAnsi="Calibri Light" w:cs="Arial"/>
          <w:sz w:val="24"/>
          <w:szCs w:val="24"/>
          <w:lang w:val="es-ES_tradnl"/>
        </w:rPr>
        <w:t>d</w:t>
      </w:r>
      <w:r w:rsidR="006A77BC" w:rsidRPr="009863F2">
        <w:rPr>
          <w:rFonts w:ascii="Calibri Light" w:hAnsi="Calibri Light" w:cs="Arial"/>
          <w:sz w:val="24"/>
          <w:szCs w:val="24"/>
          <w:lang w:val="es-ES_tradnl"/>
        </w:rPr>
        <w:t>el sistema bancario a</w:t>
      </w:r>
      <w:r w:rsidRPr="009863F2">
        <w:rPr>
          <w:rFonts w:ascii="Calibri Light" w:hAnsi="Calibri Light" w:cs="Arial"/>
          <w:sz w:val="24"/>
          <w:szCs w:val="24"/>
          <w:lang w:val="es-ES_tradnl"/>
        </w:rPr>
        <w:t xml:space="preserve"> </w:t>
      </w:r>
      <w:r w:rsidR="006A77BC" w:rsidRPr="009863F2">
        <w:rPr>
          <w:rFonts w:ascii="Calibri Light" w:hAnsi="Calibri Light" w:cs="Arial"/>
          <w:sz w:val="24"/>
          <w:szCs w:val="24"/>
          <w:lang w:val="es-ES_tradnl"/>
        </w:rPr>
        <w:t>l</w:t>
      </w:r>
      <w:r w:rsidRPr="009863F2">
        <w:rPr>
          <w:rFonts w:ascii="Calibri Light" w:hAnsi="Calibri Light" w:cs="Arial"/>
          <w:sz w:val="24"/>
          <w:szCs w:val="24"/>
          <w:lang w:val="es-ES_tradnl"/>
        </w:rPr>
        <w:t>os</w:t>
      </w:r>
      <w:r w:rsidR="006A77BC" w:rsidRPr="009863F2">
        <w:rPr>
          <w:rFonts w:ascii="Calibri Light" w:hAnsi="Calibri Light" w:cs="Arial"/>
          <w:sz w:val="24"/>
          <w:szCs w:val="24"/>
          <w:lang w:val="es-ES_tradnl"/>
        </w:rPr>
        <w:t xml:space="preserve"> mercado</w:t>
      </w:r>
      <w:r w:rsidRPr="009863F2">
        <w:rPr>
          <w:rFonts w:ascii="Calibri Light" w:hAnsi="Calibri Light" w:cs="Arial"/>
          <w:sz w:val="24"/>
          <w:szCs w:val="24"/>
          <w:lang w:val="es-ES_tradnl"/>
        </w:rPr>
        <w:t>s</w:t>
      </w:r>
      <w:r w:rsidR="006A77BC" w:rsidRPr="009863F2">
        <w:rPr>
          <w:rFonts w:ascii="Calibri Light" w:hAnsi="Calibri Light" w:cs="Arial"/>
          <w:sz w:val="24"/>
          <w:szCs w:val="24"/>
          <w:lang w:val="es-ES_tradnl"/>
        </w:rPr>
        <w:t xml:space="preserve"> de capitales </w:t>
      </w:r>
      <w:r w:rsidRPr="009863F2">
        <w:rPr>
          <w:rFonts w:ascii="Calibri Light" w:hAnsi="Calibri Light" w:cs="Arial"/>
          <w:sz w:val="24"/>
          <w:szCs w:val="24"/>
          <w:lang w:val="es-ES_tradnl"/>
        </w:rPr>
        <w:t>globales</w:t>
      </w:r>
      <w:r w:rsidR="006A77BC" w:rsidRPr="009863F2">
        <w:rPr>
          <w:rFonts w:ascii="Calibri Light" w:hAnsi="Calibri Light" w:cs="Arial"/>
          <w:sz w:val="24"/>
          <w:szCs w:val="24"/>
          <w:lang w:val="es-ES_tradnl"/>
        </w:rPr>
        <w:t>.</w:t>
      </w:r>
    </w:p>
    <w:p w14:paraId="56457584" w14:textId="77777777" w:rsidR="00AB6E92" w:rsidRDefault="00AB6E92" w:rsidP="009863F2">
      <w:pPr>
        <w:spacing w:after="0" w:line="240" w:lineRule="auto"/>
        <w:jc w:val="both"/>
        <w:rPr>
          <w:rFonts w:ascii="Calibri Light" w:hAnsi="Calibri Light" w:cs="Arial"/>
          <w:sz w:val="24"/>
          <w:szCs w:val="24"/>
          <w:lang w:val="es-ES_tradnl"/>
        </w:rPr>
      </w:pPr>
    </w:p>
    <w:p w14:paraId="651FFC55" w14:textId="5C37730C" w:rsidR="00BC6E70" w:rsidRPr="009863F2" w:rsidRDefault="006A77BC"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A</w:t>
      </w:r>
      <w:r w:rsidR="00BC6E70" w:rsidRPr="009863F2">
        <w:rPr>
          <w:rFonts w:ascii="Calibri Light" w:hAnsi="Calibri Light" w:cs="Arial"/>
          <w:sz w:val="24"/>
          <w:szCs w:val="24"/>
          <w:lang w:val="es-ES_tradnl"/>
        </w:rPr>
        <w:t xml:space="preserve"> partir </w:t>
      </w:r>
      <w:r w:rsidRPr="009863F2">
        <w:rPr>
          <w:rFonts w:ascii="Calibri Light" w:hAnsi="Calibri Light" w:cs="Arial"/>
          <w:sz w:val="24"/>
          <w:szCs w:val="24"/>
          <w:lang w:val="es-ES_tradnl"/>
        </w:rPr>
        <w:t>de esta</w:t>
      </w:r>
      <w:r w:rsidR="00BC6E70" w:rsidRPr="009863F2">
        <w:rPr>
          <w:rFonts w:ascii="Calibri Light" w:hAnsi="Calibri Light" w:cs="Arial"/>
          <w:sz w:val="24"/>
          <w:szCs w:val="24"/>
          <w:lang w:val="es-ES_tradnl"/>
        </w:rPr>
        <w:t xml:space="preserve"> crisis financiera, las IF han sido más cautelosas en sus modelos de negocio, </w:t>
      </w:r>
      <w:r w:rsidR="00C866ED" w:rsidRPr="009863F2">
        <w:rPr>
          <w:rFonts w:ascii="Calibri Light" w:hAnsi="Calibri Light" w:cs="Arial"/>
          <w:sz w:val="24"/>
          <w:szCs w:val="24"/>
          <w:lang w:val="es-ES_tradnl"/>
        </w:rPr>
        <w:t xml:space="preserve">y se han tenido </w:t>
      </w:r>
      <w:r w:rsidR="00BC6E70" w:rsidRPr="009863F2">
        <w:rPr>
          <w:rFonts w:ascii="Calibri Light" w:hAnsi="Calibri Light" w:cs="Arial"/>
          <w:sz w:val="24"/>
          <w:szCs w:val="24"/>
          <w:lang w:val="es-ES_tradnl"/>
        </w:rPr>
        <w:t>que ajustar a nuevos requerimientos de capital, requ</w:t>
      </w:r>
      <w:r w:rsidR="00230416" w:rsidRPr="009863F2">
        <w:rPr>
          <w:rFonts w:ascii="Calibri Light" w:hAnsi="Calibri Light" w:cs="Arial"/>
          <w:sz w:val="24"/>
          <w:szCs w:val="24"/>
          <w:lang w:val="es-ES_tradnl"/>
        </w:rPr>
        <w:t>isitos de liquidez y solvencia.</w:t>
      </w:r>
      <w:r w:rsidR="00BC6E70" w:rsidRPr="009863F2">
        <w:rPr>
          <w:rFonts w:ascii="Calibri Light" w:hAnsi="Calibri Light" w:cs="Arial"/>
          <w:sz w:val="24"/>
          <w:szCs w:val="24"/>
          <w:lang w:val="es-ES_tradnl"/>
        </w:rPr>
        <w:t xml:space="preserve"> En particular, </w:t>
      </w:r>
      <w:r w:rsidR="00D731D6" w:rsidRPr="009863F2">
        <w:rPr>
          <w:rFonts w:ascii="Calibri Light" w:hAnsi="Calibri Light" w:cs="Arial"/>
          <w:sz w:val="24"/>
          <w:szCs w:val="24"/>
          <w:lang w:val="es-ES_tradnl"/>
        </w:rPr>
        <w:t xml:space="preserve">la implantación de </w:t>
      </w:r>
      <w:r w:rsidR="00944C6D" w:rsidRPr="009863F2">
        <w:rPr>
          <w:rFonts w:ascii="Calibri Light" w:hAnsi="Calibri Light" w:cs="Arial"/>
          <w:sz w:val="24"/>
          <w:szCs w:val="24"/>
          <w:lang w:val="es-ES_tradnl"/>
        </w:rPr>
        <w:t xml:space="preserve">las normas de </w:t>
      </w:r>
      <w:r w:rsidR="00BC6E70" w:rsidRPr="009863F2">
        <w:rPr>
          <w:rFonts w:ascii="Calibri Light" w:hAnsi="Calibri Light" w:cs="Arial"/>
          <w:sz w:val="24"/>
          <w:szCs w:val="24"/>
          <w:lang w:val="es-ES_tradnl"/>
        </w:rPr>
        <w:t xml:space="preserve">Basilea III </w:t>
      </w:r>
      <w:r w:rsidR="00944C6D" w:rsidRPr="009863F2">
        <w:rPr>
          <w:rFonts w:ascii="Calibri Light" w:hAnsi="Calibri Light" w:cs="Arial"/>
          <w:sz w:val="24"/>
          <w:szCs w:val="24"/>
          <w:lang w:val="es-ES_tradnl"/>
        </w:rPr>
        <w:t xml:space="preserve">(las cuales </w:t>
      </w:r>
      <w:r w:rsidR="00C866ED" w:rsidRPr="009863F2">
        <w:rPr>
          <w:rFonts w:ascii="Calibri Light" w:hAnsi="Calibri Light" w:cs="Arial"/>
          <w:sz w:val="24"/>
          <w:szCs w:val="24"/>
          <w:lang w:val="es-ES_tradnl"/>
        </w:rPr>
        <w:t xml:space="preserve">se están llevando adelante </w:t>
      </w:r>
      <w:r w:rsidR="00944C6D" w:rsidRPr="009863F2">
        <w:rPr>
          <w:rFonts w:ascii="Calibri Light" w:hAnsi="Calibri Light" w:cs="Arial"/>
          <w:sz w:val="24"/>
          <w:szCs w:val="24"/>
          <w:lang w:val="es-ES_tradnl"/>
        </w:rPr>
        <w:t xml:space="preserve">gradualmente en la región) </w:t>
      </w:r>
      <w:r w:rsidR="00C866ED" w:rsidRPr="009863F2">
        <w:rPr>
          <w:rFonts w:ascii="Calibri Light" w:hAnsi="Calibri Light" w:cs="Arial"/>
          <w:sz w:val="24"/>
          <w:szCs w:val="24"/>
          <w:lang w:val="es-ES_tradnl"/>
        </w:rPr>
        <w:t xml:space="preserve">ha </w:t>
      </w:r>
      <w:r w:rsidR="00944C6D" w:rsidRPr="009863F2">
        <w:rPr>
          <w:rFonts w:ascii="Calibri Light" w:hAnsi="Calibri Light" w:cs="Arial"/>
          <w:sz w:val="24"/>
          <w:szCs w:val="24"/>
          <w:lang w:val="es-ES_tradnl"/>
        </w:rPr>
        <w:t>resulta</w:t>
      </w:r>
      <w:r w:rsidR="00C866ED" w:rsidRPr="009863F2">
        <w:rPr>
          <w:rFonts w:ascii="Calibri Light" w:hAnsi="Calibri Light" w:cs="Arial"/>
          <w:sz w:val="24"/>
          <w:szCs w:val="24"/>
          <w:lang w:val="es-ES_tradnl"/>
        </w:rPr>
        <w:t>do</w:t>
      </w:r>
      <w:r w:rsidR="00D731D6" w:rsidRPr="009863F2">
        <w:rPr>
          <w:rFonts w:ascii="Calibri Light" w:hAnsi="Calibri Light" w:cs="Arial"/>
          <w:sz w:val="24"/>
          <w:szCs w:val="24"/>
          <w:lang w:val="es-ES_tradnl"/>
        </w:rPr>
        <w:t xml:space="preserve"> en</w:t>
      </w:r>
      <w:r w:rsidR="00944C6D" w:rsidRPr="009863F2">
        <w:rPr>
          <w:rFonts w:ascii="Calibri Light" w:hAnsi="Calibri Light" w:cs="Arial"/>
          <w:sz w:val="24"/>
          <w:szCs w:val="24"/>
          <w:lang w:val="es-ES_tradnl"/>
        </w:rPr>
        <w:t xml:space="preserve"> </w:t>
      </w:r>
      <w:r w:rsidR="00BC6E70" w:rsidRPr="009863F2">
        <w:rPr>
          <w:rFonts w:ascii="Calibri Light" w:hAnsi="Calibri Light" w:cs="Arial"/>
          <w:sz w:val="24"/>
          <w:szCs w:val="24"/>
          <w:lang w:val="es-ES_tradnl"/>
        </w:rPr>
        <w:t xml:space="preserve">el </w:t>
      </w:r>
      <w:r w:rsidR="00944C6D" w:rsidRPr="009863F2">
        <w:rPr>
          <w:rFonts w:ascii="Calibri Light" w:hAnsi="Calibri Light" w:cs="Arial"/>
          <w:sz w:val="24"/>
          <w:szCs w:val="24"/>
          <w:lang w:val="es-ES_tradnl"/>
        </w:rPr>
        <w:t xml:space="preserve">incremento del </w:t>
      </w:r>
      <w:r w:rsidR="00BC6E70" w:rsidRPr="009863F2">
        <w:rPr>
          <w:rFonts w:ascii="Calibri Light" w:hAnsi="Calibri Light" w:cs="Arial"/>
          <w:sz w:val="24"/>
          <w:szCs w:val="24"/>
          <w:lang w:val="es-ES_tradnl"/>
        </w:rPr>
        <w:t>costo para financiar proyectos de largo plazo. Por lo tanto, estos descalces y restricciones han generado un desincentivo en las IF para financiar vivienda (Paraguay</w:t>
      </w:r>
      <w:r w:rsidR="00C866ED"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2,7%</w:t>
      </w:r>
      <w:r w:rsidR="00C866ED" w:rsidRPr="009863F2">
        <w:rPr>
          <w:rFonts w:ascii="Calibri Light" w:hAnsi="Calibri Light" w:cs="Arial"/>
          <w:sz w:val="24"/>
          <w:szCs w:val="24"/>
          <w:lang w:val="es-ES_tradnl"/>
        </w:rPr>
        <w:t>;</w:t>
      </w:r>
      <w:r w:rsidR="00BC6E70" w:rsidRPr="009863F2">
        <w:rPr>
          <w:rStyle w:val="FootnoteReference"/>
          <w:rFonts w:ascii="Calibri Light" w:hAnsi="Calibri Light" w:cs="Arial"/>
          <w:sz w:val="24"/>
          <w:szCs w:val="24"/>
        </w:rPr>
        <w:footnoteReference w:id="6"/>
      </w:r>
      <w:r w:rsidR="00BC6E70" w:rsidRPr="009863F2">
        <w:rPr>
          <w:rFonts w:ascii="Calibri Light" w:hAnsi="Calibri Light" w:cs="Arial"/>
          <w:sz w:val="24"/>
          <w:szCs w:val="24"/>
          <w:lang w:val="es-ES_tradnl"/>
        </w:rPr>
        <w:t xml:space="preserve"> Colombia</w:t>
      </w:r>
      <w:r w:rsidR="00C866ED"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13%</w:t>
      </w:r>
      <w:r w:rsidR="00C866ED" w:rsidRPr="009863F2">
        <w:rPr>
          <w:rFonts w:ascii="Calibri Light" w:hAnsi="Calibri Light" w:cs="Arial"/>
          <w:sz w:val="24"/>
          <w:szCs w:val="24"/>
          <w:lang w:val="es-ES_tradnl"/>
        </w:rPr>
        <w:t>;</w:t>
      </w:r>
      <w:r w:rsidR="00BC6E70" w:rsidRPr="009863F2">
        <w:rPr>
          <w:rStyle w:val="FootnoteReference"/>
          <w:rFonts w:ascii="Calibri Light" w:hAnsi="Calibri Light" w:cs="Arial"/>
          <w:sz w:val="24"/>
          <w:szCs w:val="24"/>
        </w:rPr>
        <w:footnoteReference w:id="7"/>
      </w:r>
      <w:r w:rsidR="00BC6E70" w:rsidRPr="009863F2">
        <w:rPr>
          <w:rFonts w:ascii="Calibri Light" w:hAnsi="Calibri Light" w:cs="Arial"/>
          <w:sz w:val="24"/>
          <w:szCs w:val="24"/>
          <w:lang w:val="es-ES_tradnl"/>
        </w:rPr>
        <w:t xml:space="preserve"> Perú</w:t>
      </w:r>
      <w:r w:rsidR="00C866ED"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15%</w:t>
      </w:r>
      <w:r w:rsidR="00BC6E70" w:rsidRPr="009863F2">
        <w:rPr>
          <w:rStyle w:val="FootnoteReference"/>
          <w:rFonts w:ascii="Calibri Light" w:hAnsi="Calibri Light" w:cs="Arial"/>
          <w:sz w:val="24"/>
          <w:szCs w:val="24"/>
        </w:rPr>
        <w:footnoteReference w:id="8"/>
      </w:r>
      <w:r w:rsidR="00BC6E70" w:rsidRPr="009863F2">
        <w:rPr>
          <w:rFonts w:ascii="Calibri Light" w:hAnsi="Calibri Light" w:cs="Arial"/>
          <w:sz w:val="24"/>
          <w:szCs w:val="24"/>
          <w:lang w:val="es-ES_tradnl"/>
        </w:rPr>
        <w:t xml:space="preserve"> y Chile</w:t>
      </w:r>
      <w:r w:rsidR="00C866ED"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 xml:space="preserve"> 25%</w:t>
      </w:r>
      <w:r w:rsidR="00BC6E70" w:rsidRPr="009863F2">
        <w:rPr>
          <w:rStyle w:val="FootnoteReference"/>
          <w:rFonts w:ascii="Calibri Light" w:hAnsi="Calibri Light" w:cs="Arial"/>
          <w:sz w:val="24"/>
          <w:szCs w:val="24"/>
        </w:rPr>
        <w:footnoteReference w:id="9"/>
      </w:r>
      <w:r w:rsidR="0070507E" w:rsidRPr="009863F2">
        <w:rPr>
          <w:rFonts w:ascii="Calibri Light" w:hAnsi="Calibri Light" w:cs="Arial"/>
          <w:sz w:val="24"/>
          <w:szCs w:val="24"/>
          <w:lang w:val="es-ES_tradnl"/>
        </w:rPr>
        <w:t>)</w:t>
      </w:r>
      <w:r w:rsidR="00BC6E70" w:rsidRPr="009863F2">
        <w:rPr>
          <w:rFonts w:ascii="Calibri Light" w:hAnsi="Calibri Light" w:cs="Arial"/>
          <w:sz w:val="24"/>
          <w:szCs w:val="24"/>
          <w:lang w:val="es-ES_tradnl"/>
        </w:rPr>
        <w:t>.</w:t>
      </w:r>
    </w:p>
    <w:p w14:paraId="2BBB50C9" w14:textId="77777777" w:rsidR="00AB6E92" w:rsidRDefault="00AB6E92" w:rsidP="009863F2">
      <w:pPr>
        <w:spacing w:after="0" w:line="240" w:lineRule="auto"/>
        <w:jc w:val="both"/>
        <w:rPr>
          <w:rFonts w:ascii="Calibri Light" w:hAnsi="Calibri Light" w:cs="Arial"/>
          <w:sz w:val="24"/>
          <w:szCs w:val="24"/>
          <w:lang w:val="es-ES_tradnl"/>
        </w:rPr>
      </w:pPr>
    </w:p>
    <w:p w14:paraId="17203FCB" w14:textId="42B8199C" w:rsidR="00944C6D"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Ante este escenario </w:t>
      </w:r>
      <w:r w:rsidR="00944C6D" w:rsidRPr="009863F2">
        <w:rPr>
          <w:rFonts w:ascii="Calibri Light" w:hAnsi="Calibri Light" w:cs="Arial"/>
          <w:sz w:val="24"/>
          <w:szCs w:val="24"/>
          <w:lang w:val="es-ES_tradnl"/>
        </w:rPr>
        <w:t>que plantea fallas de mercado que requerirían una respuesta de política pública para su tratamiento, existen instrumentos que permitirían enfrentarlas</w:t>
      </w:r>
      <w:r w:rsidR="00C866ED" w:rsidRPr="009863F2">
        <w:rPr>
          <w:rFonts w:ascii="Calibri Light" w:hAnsi="Calibri Light" w:cs="Arial"/>
          <w:sz w:val="24"/>
          <w:szCs w:val="24"/>
          <w:lang w:val="es-ES_tradnl"/>
        </w:rPr>
        <w:t>. Estos se centran sobre todo</w:t>
      </w:r>
      <w:r w:rsidR="00944C6D" w:rsidRPr="009863F2">
        <w:rPr>
          <w:rFonts w:ascii="Calibri Light" w:hAnsi="Calibri Light" w:cs="Arial"/>
          <w:sz w:val="24"/>
          <w:szCs w:val="24"/>
          <w:lang w:val="es-ES_tradnl"/>
        </w:rPr>
        <w:t xml:space="preserve"> en: i) </w:t>
      </w:r>
      <w:r w:rsidR="00C866ED" w:rsidRPr="009863F2">
        <w:rPr>
          <w:rFonts w:ascii="Calibri Light" w:hAnsi="Calibri Light" w:cs="Arial"/>
          <w:sz w:val="24"/>
          <w:szCs w:val="24"/>
          <w:lang w:val="es-ES_tradnl"/>
        </w:rPr>
        <w:t xml:space="preserve">el financiamiento </w:t>
      </w:r>
      <w:r w:rsidR="0070507E"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la banca de desarrollo</w:t>
      </w:r>
      <w:r w:rsidR="0070507E" w:rsidRPr="009863F2">
        <w:rPr>
          <w:rFonts w:ascii="Calibri Light" w:hAnsi="Calibri Light" w:cs="Arial"/>
          <w:sz w:val="24"/>
          <w:szCs w:val="24"/>
          <w:lang w:val="es-ES_tradnl"/>
        </w:rPr>
        <w:t xml:space="preserve">, </w:t>
      </w:r>
      <w:r w:rsidR="00944C6D" w:rsidRPr="009863F2">
        <w:rPr>
          <w:rFonts w:ascii="Calibri Light" w:hAnsi="Calibri Light" w:cs="Arial"/>
          <w:sz w:val="24"/>
          <w:szCs w:val="24"/>
          <w:lang w:val="es-ES_tradnl"/>
        </w:rPr>
        <w:t>representada por los bancos de segundo piso estatales de la región y</w:t>
      </w:r>
      <w:r w:rsidR="0070507E" w:rsidRPr="009863F2">
        <w:rPr>
          <w:rFonts w:ascii="Calibri Light" w:hAnsi="Calibri Light" w:cs="Arial"/>
          <w:sz w:val="24"/>
          <w:szCs w:val="24"/>
          <w:lang w:val="es-ES_tradnl"/>
        </w:rPr>
        <w:t xml:space="preserve"> </w:t>
      </w:r>
      <w:r w:rsidR="00944C6D" w:rsidRPr="009863F2">
        <w:rPr>
          <w:rFonts w:ascii="Calibri Light" w:hAnsi="Calibri Light" w:cs="Arial"/>
          <w:sz w:val="24"/>
          <w:szCs w:val="24"/>
          <w:lang w:val="es-ES_tradnl"/>
        </w:rPr>
        <w:t xml:space="preserve">ii) la profundización de los mercados de valores como complemento del rol de la </w:t>
      </w:r>
      <w:r w:rsidR="0070507E" w:rsidRPr="009863F2">
        <w:rPr>
          <w:rFonts w:ascii="Calibri Light" w:hAnsi="Calibri Light" w:cs="Arial"/>
          <w:sz w:val="24"/>
          <w:szCs w:val="24"/>
          <w:lang w:val="es-ES_tradnl"/>
        </w:rPr>
        <w:t>banca de desarrollo</w:t>
      </w:r>
      <w:r w:rsidR="00944C6D"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w:t>
      </w:r>
    </w:p>
    <w:p w14:paraId="3B4A42E5" w14:textId="77777777" w:rsidR="00AB6E92" w:rsidRDefault="00AB6E92" w:rsidP="009863F2">
      <w:pPr>
        <w:spacing w:after="0" w:line="240" w:lineRule="auto"/>
        <w:rPr>
          <w:rFonts w:ascii="Calibri Light" w:hAnsi="Calibri Light" w:cs="Arial"/>
          <w:b/>
          <w:i/>
          <w:sz w:val="24"/>
          <w:szCs w:val="24"/>
          <w:lang w:val="es-ES_tradnl"/>
        </w:rPr>
      </w:pPr>
    </w:p>
    <w:p w14:paraId="4B3C0C56" w14:textId="17CD5533"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Intervenciones</w:t>
      </w:r>
    </w:p>
    <w:p w14:paraId="59B224EB" w14:textId="365D46E5" w:rsidR="00BC6E70" w:rsidRPr="009863F2" w:rsidRDefault="00C866ED"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
        </w:rPr>
        <w:t xml:space="preserve">Financiamiento </w:t>
      </w:r>
      <w:r w:rsidR="00BC6E70" w:rsidRPr="009863F2">
        <w:rPr>
          <w:rFonts w:ascii="Calibri Light" w:hAnsi="Calibri Light" w:cs="Arial"/>
          <w:i/>
          <w:sz w:val="24"/>
          <w:szCs w:val="24"/>
          <w:lang w:val="es-ES"/>
        </w:rPr>
        <w:t>de mediano y largo plazo.</w:t>
      </w:r>
      <w:r w:rsidR="00BC6E70" w:rsidRPr="009863F2">
        <w:rPr>
          <w:rFonts w:ascii="Calibri Light" w:hAnsi="Calibri Light" w:cs="Arial"/>
          <w:sz w:val="24"/>
          <w:szCs w:val="24"/>
          <w:lang w:val="es-ES"/>
        </w:rPr>
        <w:t xml:space="preserve"> Frente a la ausencia de fondos prestables de largo plazo y a la </w:t>
      </w:r>
      <w:r w:rsidR="00AD3494" w:rsidRPr="009863F2">
        <w:rPr>
          <w:rFonts w:ascii="Calibri Light" w:hAnsi="Calibri Light" w:cs="Arial"/>
          <w:sz w:val="24"/>
          <w:szCs w:val="24"/>
          <w:lang w:val="es-ES"/>
        </w:rPr>
        <w:t xml:space="preserve">limitada voluntad </w:t>
      </w:r>
      <w:r w:rsidR="00BC6E70" w:rsidRPr="009863F2">
        <w:rPr>
          <w:rFonts w:ascii="Calibri Light" w:hAnsi="Calibri Light" w:cs="Arial"/>
          <w:sz w:val="24"/>
          <w:szCs w:val="24"/>
          <w:lang w:val="es-ES"/>
        </w:rPr>
        <w:t xml:space="preserve">de las IF </w:t>
      </w:r>
      <w:r w:rsidR="00AD3494" w:rsidRPr="009863F2">
        <w:rPr>
          <w:rFonts w:ascii="Calibri Light" w:hAnsi="Calibri Light" w:cs="Arial"/>
          <w:sz w:val="24"/>
          <w:szCs w:val="24"/>
          <w:lang w:val="es-ES"/>
        </w:rPr>
        <w:t xml:space="preserve">para </w:t>
      </w:r>
      <w:r w:rsidR="00BC6E70" w:rsidRPr="009863F2">
        <w:rPr>
          <w:rFonts w:ascii="Calibri Light" w:hAnsi="Calibri Light" w:cs="Arial"/>
          <w:sz w:val="24"/>
          <w:szCs w:val="24"/>
          <w:lang w:val="es-ES"/>
        </w:rPr>
        <w:t xml:space="preserve">ofrecer préstamos para la vivienda en lugar de otras colocaciones de menor plazo y </w:t>
      </w:r>
      <w:r w:rsidR="00AD3494" w:rsidRPr="009863F2">
        <w:rPr>
          <w:rFonts w:ascii="Calibri Light" w:hAnsi="Calibri Light" w:cs="Arial"/>
          <w:sz w:val="24"/>
          <w:szCs w:val="24"/>
          <w:lang w:val="es-ES"/>
        </w:rPr>
        <w:t xml:space="preserve">mayor rentabilidad (en función de su valor ajustado por </w:t>
      </w:r>
      <w:r w:rsidRPr="009863F2">
        <w:rPr>
          <w:rFonts w:ascii="Calibri Light" w:hAnsi="Calibri Light" w:cs="Arial"/>
          <w:sz w:val="24"/>
          <w:szCs w:val="24"/>
          <w:lang w:val="es-ES"/>
        </w:rPr>
        <w:t xml:space="preserve">el </w:t>
      </w:r>
      <w:r w:rsidR="00AD3494" w:rsidRPr="009863F2">
        <w:rPr>
          <w:rFonts w:ascii="Calibri Light" w:hAnsi="Calibri Light" w:cs="Arial"/>
          <w:sz w:val="24"/>
          <w:szCs w:val="24"/>
          <w:lang w:val="es-ES"/>
        </w:rPr>
        <w:t>riesgo)</w:t>
      </w:r>
      <w:r w:rsidR="00BC6E70" w:rsidRPr="009863F2">
        <w:rPr>
          <w:rFonts w:ascii="Calibri Light" w:hAnsi="Calibri Light" w:cs="Arial"/>
          <w:sz w:val="24"/>
          <w:szCs w:val="24"/>
          <w:lang w:val="es-ES"/>
        </w:rPr>
        <w:t xml:space="preserve">, </w:t>
      </w:r>
      <w:r w:rsidR="00AD3494" w:rsidRPr="009863F2">
        <w:rPr>
          <w:rFonts w:ascii="Calibri Light" w:hAnsi="Calibri Light" w:cs="Arial"/>
          <w:sz w:val="24"/>
          <w:szCs w:val="24"/>
          <w:lang w:val="es-ES"/>
        </w:rPr>
        <w:t xml:space="preserve">una vía para lograr este </w:t>
      </w:r>
      <w:r w:rsidRPr="009863F2">
        <w:rPr>
          <w:rFonts w:ascii="Calibri Light" w:hAnsi="Calibri Light" w:cs="Arial"/>
          <w:sz w:val="24"/>
          <w:szCs w:val="24"/>
          <w:lang w:val="es-ES"/>
        </w:rPr>
        <w:t xml:space="preserve">financiamiento </w:t>
      </w:r>
      <w:r w:rsidR="00AD3494" w:rsidRPr="009863F2">
        <w:rPr>
          <w:rFonts w:ascii="Calibri Light" w:hAnsi="Calibri Light" w:cs="Arial"/>
          <w:sz w:val="24"/>
          <w:szCs w:val="24"/>
          <w:lang w:val="es-ES"/>
        </w:rPr>
        <w:t xml:space="preserve">vendría dada por la </w:t>
      </w:r>
      <w:r w:rsidR="00BC6E70" w:rsidRPr="009863F2">
        <w:rPr>
          <w:rFonts w:ascii="Calibri Light" w:hAnsi="Calibri Light" w:cs="Arial"/>
          <w:sz w:val="24"/>
          <w:szCs w:val="24"/>
          <w:lang w:val="es-ES"/>
        </w:rPr>
        <w:t xml:space="preserve">asignación específica de recursos privados (por ejemplo, a partir de </w:t>
      </w:r>
      <w:r w:rsidR="00AD3494" w:rsidRPr="009863F2">
        <w:rPr>
          <w:rFonts w:ascii="Calibri Light" w:hAnsi="Calibri Light" w:cs="Arial"/>
          <w:sz w:val="24"/>
          <w:szCs w:val="24"/>
          <w:lang w:val="es-ES"/>
        </w:rPr>
        <w:t xml:space="preserve">la identificación y definición de objetivos de inversión de </w:t>
      </w:r>
      <w:r w:rsidR="00BC6E70" w:rsidRPr="009863F2">
        <w:rPr>
          <w:rFonts w:ascii="Calibri Light" w:hAnsi="Calibri Light" w:cs="Arial"/>
          <w:sz w:val="24"/>
          <w:szCs w:val="24"/>
          <w:lang w:val="es-ES"/>
        </w:rPr>
        <w:t xml:space="preserve">fondos de ahorro previsional) y públicos (canalizando recursos </w:t>
      </w:r>
      <w:r w:rsidR="00AD3494" w:rsidRPr="009863F2">
        <w:rPr>
          <w:rFonts w:ascii="Calibri Light" w:hAnsi="Calibri Light" w:cs="Arial"/>
          <w:sz w:val="24"/>
          <w:szCs w:val="24"/>
          <w:lang w:val="es-ES"/>
        </w:rPr>
        <w:t xml:space="preserve">a través </w:t>
      </w:r>
      <w:r w:rsidR="00BC6E70" w:rsidRPr="009863F2">
        <w:rPr>
          <w:rFonts w:ascii="Calibri Light" w:hAnsi="Calibri Light" w:cs="Arial"/>
          <w:sz w:val="24"/>
          <w:szCs w:val="24"/>
          <w:lang w:val="es-ES"/>
        </w:rPr>
        <w:t xml:space="preserve">de la banca de desarrollo </w:t>
      </w:r>
      <w:r w:rsidR="00AD3494" w:rsidRPr="009863F2">
        <w:rPr>
          <w:rFonts w:ascii="Calibri Light" w:hAnsi="Calibri Light" w:cs="Arial"/>
          <w:sz w:val="24"/>
          <w:szCs w:val="24"/>
          <w:lang w:val="es-ES"/>
        </w:rPr>
        <w:t xml:space="preserve">por medio </w:t>
      </w:r>
      <w:r w:rsidR="00BC6E70" w:rsidRPr="009863F2">
        <w:rPr>
          <w:rFonts w:ascii="Calibri Light" w:hAnsi="Calibri Light" w:cs="Arial"/>
          <w:sz w:val="24"/>
          <w:szCs w:val="24"/>
          <w:lang w:val="es-ES"/>
        </w:rPr>
        <w:t>de operaciones de primer o segundo piso)</w:t>
      </w:r>
      <w:r w:rsidR="00AD3494" w:rsidRPr="009863F2">
        <w:rPr>
          <w:rFonts w:ascii="Calibri Light" w:hAnsi="Calibri Light" w:cs="Arial"/>
          <w:sz w:val="24"/>
          <w:szCs w:val="24"/>
          <w:lang w:val="es-ES"/>
        </w:rPr>
        <w:t>. Esta acción, permitiría profundizar y potenciar</w:t>
      </w:r>
      <w:r w:rsidR="00BC6E70" w:rsidRPr="009863F2">
        <w:rPr>
          <w:rFonts w:ascii="Calibri Light" w:hAnsi="Calibri Light" w:cs="Arial"/>
          <w:sz w:val="24"/>
          <w:szCs w:val="24"/>
          <w:lang w:val="es-ES"/>
        </w:rPr>
        <w:t xml:space="preserve"> la promoción del desarrollo de vivienda </w:t>
      </w:r>
      <w:r w:rsidR="00AD3494" w:rsidRPr="009863F2">
        <w:rPr>
          <w:rFonts w:ascii="Calibri Light" w:hAnsi="Calibri Light" w:cs="Arial"/>
          <w:sz w:val="24"/>
          <w:szCs w:val="24"/>
          <w:lang w:val="es-ES"/>
        </w:rPr>
        <w:t>(en total armonía con las políticas de planificación urbana</w:t>
      </w:r>
      <w:r w:rsidRPr="009863F2">
        <w:rPr>
          <w:rFonts w:ascii="Calibri Light" w:hAnsi="Calibri Light" w:cs="Arial"/>
          <w:sz w:val="24"/>
          <w:szCs w:val="24"/>
          <w:lang w:val="es-ES"/>
        </w:rPr>
        <w:t>,</w:t>
      </w:r>
      <w:r w:rsidR="00AD3494" w:rsidRPr="009863F2">
        <w:rPr>
          <w:rFonts w:ascii="Calibri Light" w:hAnsi="Calibri Light" w:cs="Arial"/>
          <w:sz w:val="24"/>
          <w:szCs w:val="24"/>
          <w:lang w:val="es-ES"/>
        </w:rPr>
        <w:t xml:space="preserve"> </w:t>
      </w:r>
      <w:r w:rsidR="00BC6E70" w:rsidRPr="009863F2">
        <w:rPr>
          <w:rFonts w:ascii="Calibri Light" w:hAnsi="Calibri Light" w:cs="Arial"/>
          <w:sz w:val="24"/>
          <w:szCs w:val="24"/>
          <w:lang w:val="es-ES"/>
        </w:rPr>
        <w:t>focaliza</w:t>
      </w:r>
      <w:r w:rsidR="00AD3494" w:rsidRPr="009863F2">
        <w:rPr>
          <w:rFonts w:ascii="Calibri Light" w:hAnsi="Calibri Light" w:cs="Arial"/>
          <w:sz w:val="24"/>
          <w:szCs w:val="24"/>
          <w:lang w:val="es-ES"/>
        </w:rPr>
        <w:t>n</w:t>
      </w:r>
      <w:r w:rsidR="00BC6E70" w:rsidRPr="009863F2">
        <w:rPr>
          <w:rFonts w:ascii="Calibri Light" w:hAnsi="Calibri Light" w:cs="Arial"/>
          <w:sz w:val="24"/>
          <w:szCs w:val="24"/>
          <w:lang w:val="es-ES"/>
        </w:rPr>
        <w:t>do</w:t>
      </w:r>
      <w:r w:rsidR="00AD3494" w:rsidRPr="009863F2">
        <w:rPr>
          <w:rFonts w:ascii="Calibri Light" w:hAnsi="Calibri Light" w:cs="Arial"/>
          <w:sz w:val="24"/>
          <w:szCs w:val="24"/>
          <w:lang w:val="es-ES"/>
        </w:rPr>
        <w:t xml:space="preserve"> el desarrollo</w:t>
      </w:r>
      <w:r w:rsidR="00BC6E70" w:rsidRPr="009863F2">
        <w:rPr>
          <w:rFonts w:ascii="Calibri Light" w:hAnsi="Calibri Light" w:cs="Arial"/>
          <w:sz w:val="24"/>
          <w:szCs w:val="24"/>
          <w:lang w:val="es-ES"/>
        </w:rPr>
        <w:t>, a nivel de zonas geográficas o de sectores de la población</w:t>
      </w:r>
      <w:r w:rsidR="00AD3494" w:rsidRPr="009863F2">
        <w:rPr>
          <w:rFonts w:ascii="Calibri Light" w:hAnsi="Calibri Light" w:cs="Arial"/>
          <w:sz w:val="24"/>
          <w:szCs w:val="24"/>
          <w:lang w:val="es-ES"/>
        </w:rPr>
        <w:t>)</w:t>
      </w:r>
      <w:r w:rsidR="00BC6E70" w:rsidRPr="009863F2">
        <w:rPr>
          <w:rFonts w:ascii="Calibri Light" w:hAnsi="Calibri Light" w:cs="Arial"/>
          <w:sz w:val="24"/>
          <w:szCs w:val="24"/>
          <w:lang w:val="es-ES"/>
        </w:rPr>
        <w:t>.</w:t>
      </w:r>
    </w:p>
    <w:p w14:paraId="2BF0BE7C" w14:textId="77777777" w:rsidR="00AB6E92" w:rsidRDefault="00AB6E92" w:rsidP="009863F2">
      <w:pPr>
        <w:spacing w:after="0" w:line="240" w:lineRule="auto"/>
        <w:jc w:val="both"/>
        <w:rPr>
          <w:rFonts w:ascii="Calibri Light" w:hAnsi="Calibri Light" w:cs="Arial"/>
          <w:i/>
          <w:sz w:val="24"/>
          <w:szCs w:val="24"/>
          <w:lang w:val="es-AR"/>
        </w:rPr>
      </w:pPr>
    </w:p>
    <w:p w14:paraId="223F37DF" w14:textId="5EEFADF0" w:rsidR="003F1B2F"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i/>
          <w:sz w:val="24"/>
          <w:szCs w:val="24"/>
          <w:lang w:val="es-AR"/>
        </w:rPr>
        <w:t xml:space="preserve">Securitización de hipotecas. </w:t>
      </w:r>
      <w:r w:rsidR="00924EEB" w:rsidRPr="009863F2">
        <w:rPr>
          <w:rFonts w:ascii="Calibri Light" w:eastAsia="Calibri" w:hAnsi="Calibri Light" w:cs="Arial"/>
          <w:sz w:val="24"/>
          <w:szCs w:val="24"/>
          <w:lang w:val="es-ES_tradnl"/>
        </w:rPr>
        <w:t xml:space="preserve">Para complementar </w:t>
      </w:r>
      <w:r w:rsidR="003F1B2F" w:rsidRPr="009863F2">
        <w:rPr>
          <w:rFonts w:ascii="Calibri Light" w:eastAsia="Calibri" w:hAnsi="Calibri Light" w:cs="Arial"/>
          <w:sz w:val="24"/>
          <w:szCs w:val="24"/>
          <w:lang w:val="es-ES_tradnl"/>
        </w:rPr>
        <w:t>lo anterior, e</w:t>
      </w:r>
      <w:r w:rsidRPr="009863F2">
        <w:rPr>
          <w:rFonts w:ascii="Calibri Light" w:eastAsia="Calibri" w:hAnsi="Calibri Light" w:cs="Arial"/>
          <w:sz w:val="24"/>
          <w:szCs w:val="24"/>
          <w:lang w:val="es-ES_tradnl"/>
        </w:rPr>
        <w:t xml:space="preserve">xisten algunas experiencias con instrumentos que se han </w:t>
      </w:r>
      <w:r w:rsidR="003F1B2F" w:rsidRPr="009863F2">
        <w:rPr>
          <w:rFonts w:ascii="Calibri Light" w:eastAsia="Calibri" w:hAnsi="Calibri Light" w:cs="Arial"/>
          <w:sz w:val="24"/>
          <w:szCs w:val="24"/>
          <w:lang w:val="es-ES_tradnl"/>
        </w:rPr>
        <w:t xml:space="preserve">aplicado </w:t>
      </w:r>
      <w:r w:rsidRPr="009863F2">
        <w:rPr>
          <w:rFonts w:ascii="Calibri Light" w:eastAsia="Calibri" w:hAnsi="Calibri Light" w:cs="Arial"/>
          <w:sz w:val="24"/>
          <w:szCs w:val="24"/>
          <w:lang w:val="es-ES_tradnl"/>
        </w:rPr>
        <w:t xml:space="preserve">en la región, </w:t>
      </w:r>
      <w:r w:rsidR="003F1B2F" w:rsidRPr="009863F2">
        <w:rPr>
          <w:rFonts w:ascii="Calibri Light" w:eastAsia="Calibri" w:hAnsi="Calibri Light" w:cs="Arial"/>
          <w:sz w:val="24"/>
          <w:szCs w:val="24"/>
          <w:lang w:val="es-ES_tradnl"/>
        </w:rPr>
        <w:t xml:space="preserve">que permiten asociar en forma directa a </w:t>
      </w:r>
      <w:r w:rsidRPr="009863F2">
        <w:rPr>
          <w:rFonts w:ascii="Calibri Light" w:eastAsia="Calibri" w:hAnsi="Calibri Light" w:cs="Arial"/>
          <w:sz w:val="24"/>
          <w:szCs w:val="24"/>
          <w:lang w:val="es-ES_tradnl"/>
        </w:rPr>
        <w:t xml:space="preserve">los mercados de capitales y </w:t>
      </w:r>
      <w:r w:rsidR="003F1B2F" w:rsidRPr="009863F2">
        <w:rPr>
          <w:rFonts w:ascii="Calibri Light" w:eastAsia="Calibri" w:hAnsi="Calibri Light" w:cs="Arial"/>
          <w:sz w:val="24"/>
          <w:szCs w:val="24"/>
          <w:lang w:val="es-ES_tradnl"/>
        </w:rPr>
        <w:t xml:space="preserve">vincularlos </w:t>
      </w:r>
      <w:r w:rsidRPr="009863F2">
        <w:rPr>
          <w:rFonts w:ascii="Calibri Light" w:eastAsia="Calibri" w:hAnsi="Calibri Light" w:cs="Arial"/>
          <w:sz w:val="24"/>
          <w:szCs w:val="24"/>
          <w:lang w:val="es-ES_tradnl"/>
        </w:rPr>
        <w:t>con el financiamiento para la vivienda</w:t>
      </w:r>
      <w:r w:rsidR="003F1B2F" w:rsidRPr="009863F2">
        <w:rPr>
          <w:rFonts w:ascii="Calibri Light" w:eastAsia="Calibri" w:hAnsi="Calibri Light" w:cs="Arial"/>
          <w:sz w:val="24"/>
          <w:szCs w:val="24"/>
          <w:lang w:val="es-ES_tradnl"/>
        </w:rPr>
        <w:t xml:space="preserve"> logrando sinergia</w:t>
      </w:r>
      <w:r w:rsidR="0070507E" w:rsidRPr="009863F2">
        <w:rPr>
          <w:rFonts w:ascii="Calibri Light" w:eastAsia="Calibri" w:hAnsi="Calibri Light" w:cs="Arial"/>
          <w:sz w:val="24"/>
          <w:szCs w:val="24"/>
          <w:lang w:val="es-ES_tradnl"/>
        </w:rPr>
        <w:t>s</w:t>
      </w:r>
      <w:r w:rsidR="003F1B2F" w:rsidRPr="009863F2">
        <w:rPr>
          <w:rFonts w:ascii="Calibri Light" w:eastAsia="Calibri" w:hAnsi="Calibri Light" w:cs="Arial"/>
          <w:sz w:val="24"/>
          <w:szCs w:val="24"/>
          <w:lang w:val="es-ES_tradnl"/>
        </w:rPr>
        <w:t>.</w:t>
      </w:r>
      <w:r w:rsidR="0070507E" w:rsidRPr="009863F2">
        <w:rPr>
          <w:rFonts w:ascii="Calibri Light" w:eastAsia="Calibri" w:hAnsi="Calibri Light" w:cs="Arial"/>
          <w:sz w:val="24"/>
          <w:szCs w:val="24"/>
          <w:lang w:val="es-ES_tradnl"/>
        </w:rPr>
        <w:t xml:space="preserve"> </w:t>
      </w:r>
      <w:r w:rsidRPr="009863F2">
        <w:rPr>
          <w:rFonts w:ascii="Calibri Light" w:eastAsia="Calibri" w:hAnsi="Calibri Light" w:cs="Arial"/>
          <w:sz w:val="24"/>
          <w:szCs w:val="24"/>
          <w:lang w:val="es-ES_tradnl"/>
        </w:rPr>
        <w:t xml:space="preserve">Tal es el caso de la </w:t>
      </w:r>
      <w:r w:rsidRPr="009863F2">
        <w:rPr>
          <w:rFonts w:ascii="Calibri Light" w:hAnsi="Calibri Light" w:cs="Arial"/>
          <w:sz w:val="24"/>
          <w:szCs w:val="24"/>
          <w:lang w:val="es-AR"/>
        </w:rPr>
        <w:t xml:space="preserve">securitización de hipotecas, que </w:t>
      </w:r>
      <w:r w:rsidR="003F1B2F" w:rsidRPr="009863F2">
        <w:rPr>
          <w:rFonts w:ascii="Calibri Light" w:hAnsi="Calibri Light" w:cs="Arial"/>
          <w:sz w:val="24"/>
          <w:szCs w:val="24"/>
          <w:lang w:val="es-AR"/>
        </w:rPr>
        <w:t>logra</w:t>
      </w:r>
      <w:r w:rsidRPr="009863F2">
        <w:rPr>
          <w:rFonts w:ascii="Calibri Light" w:hAnsi="Calibri Light" w:cs="Arial"/>
          <w:sz w:val="24"/>
          <w:szCs w:val="24"/>
          <w:lang w:val="es-AR"/>
        </w:rPr>
        <w:t xml:space="preserve"> crear el vínculo entre el mercado de financiamiento para la vivienda y los mercados de capitales, </w:t>
      </w:r>
      <w:r w:rsidR="003F1B2F" w:rsidRPr="009863F2">
        <w:rPr>
          <w:rFonts w:ascii="Calibri Light" w:hAnsi="Calibri Light" w:cs="Arial"/>
          <w:sz w:val="24"/>
          <w:szCs w:val="24"/>
          <w:lang w:val="es-AR"/>
        </w:rPr>
        <w:t xml:space="preserve">al </w:t>
      </w:r>
      <w:r w:rsidRPr="009863F2">
        <w:rPr>
          <w:rFonts w:ascii="Calibri Light" w:hAnsi="Calibri Light" w:cs="Arial"/>
          <w:sz w:val="24"/>
          <w:szCs w:val="24"/>
          <w:lang w:val="es-AR"/>
        </w:rPr>
        <w:t xml:space="preserve">complementar el volumen de financiamiento requerido para el mercado de vivienda, </w:t>
      </w:r>
      <w:r w:rsidR="00924EEB" w:rsidRPr="009863F2">
        <w:rPr>
          <w:rFonts w:ascii="Calibri Light" w:hAnsi="Calibri Light" w:cs="Arial"/>
          <w:sz w:val="24"/>
          <w:szCs w:val="24"/>
          <w:lang w:val="es-AR"/>
        </w:rPr>
        <w:t>que suele centrarse</w:t>
      </w:r>
      <w:r w:rsidRPr="009863F2">
        <w:rPr>
          <w:rFonts w:ascii="Calibri Light" w:hAnsi="Calibri Light" w:cs="Arial"/>
          <w:sz w:val="24"/>
          <w:szCs w:val="24"/>
          <w:lang w:val="es-AR"/>
        </w:rPr>
        <w:t xml:space="preserve"> en el sistema bancario. Bajo este mecanismo </w:t>
      </w:r>
      <w:r w:rsidRPr="009863F2">
        <w:rPr>
          <w:rFonts w:ascii="Calibri Light" w:hAnsi="Calibri Light" w:cs="Arial"/>
          <w:sz w:val="24"/>
          <w:szCs w:val="24"/>
          <w:lang w:val="es-ES_tradnl"/>
        </w:rPr>
        <w:t xml:space="preserve">se emiten títulos y valores </w:t>
      </w:r>
      <w:r w:rsidR="003F1B2F" w:rsidRPr="009863F2">
        <w:rPr>
          <w:rFonts w:ascii="Calibri Light" w:hAnsi="Calibri Light" w:cs="Arial"/>
          <w:sz w:val="24"/>
          <w:szCs w:val="24"/>
          <w:lang w:val="es-ES_tradnl"/>
        </w:rPr>
        <w:t xml:space="preserve">con </w:t>
      </w:r>
      <w:r w:rsidR="00924EEB" w:rsidRPr="009863F2">
        <w:rPr>
          <w:rFonts w:ascii="Calibri Light" w:hAnsi="Calibri Light" w:cs="Arial"/>
          <w:sz w:val="24"/>
          <w:szCs w:val="24"/>
          <w:lang w:val="es-ES_tradnl"/>
        </w:rPr>
        <w:t xml:space="preserve">diferentes </w:t>
      </w:r>
      <w:r w:rsidR="003F1B2F" w:rsidRPr="009863F2">
        <w:rPr>
          <w:rFonts w:ascii="Calibri Light" w:hAnsi="Calibri Light" w:cs="Arial"/>
          <w:sz w:val="24"/>
          <w:szCs w:val="24"/>
          <w:lang w:val="es-ES_tradnl"/>
        </w:rPr>
        <w:t>nivel</w:t>
      </w:r>
      <w:r w:rsidR="00924EEB" w:rsidRPr="009863F2">
        <w:rPr>
          <w:rFonts w:ascii="Calibri Light" w:hAnsi="Calibri Light" w:cs="Arial"/>
          <w:sz w:val="24"/>
          <w:szCs w:val="24"/>
          <w:lang w:val="es-ES_tradnl"/>
        </w:rPr>
        <w:t>es</w:t>
      </w:r>
      <w:r w:rsidR="003F1B2F" w:rsidRPr="009863F2">
        <w:rPr>
          <w:rFonts w:ascii="Calibri Light" w:hAnsi="Calibri Light" w:cs="Arial"/>
          <w:sz w:val="24"/>
          <w:szCs w:val="24"/>
          <w:lang w:val="es-ES_tradnl"/>
        </w:rPr>
        <w:t xml:space="preserve"> de riesgo (generalmente a través de un vehículo de propósito especial </w:t>
      </w:r>
      <w:r w:rsidR="00924EEB" w:rsidRPr="009863F2">
        <w:rPr>
          <w:rFonts w:ascii="Calibri Light" w:hAnsi="Calibri Light" w:cs="Arial"/>
          <w:sz w:val="24"/>
          <w:szCs w:val="24"/>
          <w:lang w:val="es-ES_tradnl"/>
        </w:rPr>
        <w:t>[</w:t>
      </w:r>
      <w:r w:rsidR="003F1B2F" w:rsidRPr="009863F2">
        <w:rPr>
          <w:rFonts w:ascii="Calibri Light" w:hAnsi="Calibri Light" w:cs="Arial"/>
          <w:sz w:val="24"/>
          <w:szCs w:val="24"/>
          <w:lang w:val="es-ES_tradnl"/>
        </w:rPr>
        <w:t>SPV</w:t>
      </w:r>
      <w:r w:rsidR="00924EEB" w:rsidRPr="009863F2">
        <w:rPr>
          <w:rFonts w:ascii="Calibri Light" w:hAnsi="Calibri Light" w:cs="Arial"/>
          <w:sz w:val="24"/>
          <w:szCs w:val="24"/>
          <w:lang w:val="es-ES_tradnl"/>
        </w:rPr>
        <w:t>,</w:t>
      </w:r>
      <w:r w:rsidR="003F1B2F" w:rsidRPr="009863F2">
        <w:rPr>
          <w:rFonts w:ascii="Calibri Light" w:hAnsi="Calibri Light" w:cs="Arial"/>
          <w:sz w:val="24"/>
          <w:szCs w:val="24"/>
          <w:lang w:val="es-ES_tradnl"/>
        </w:rPr>
        <w:t xml:space="preserve"> por sus siglas en inglés</w:t>
      </w:r>
      <w:r w:rsidR="00924EEB" w:rsidRPr="009863F2">
        <w:rPr>
          <w:rFonts w:ascii="Calibri Light" w:hAnsi="Calibri Light" w:cs="Arial"/>
          <w:sz w:val="24"/>
          <w:szCs w:val="24"/>
          <w:lang w:val="es-ES_tradnl"/>
        </w:rPr>
        <w:t>]</w:t>
      </w:r>
      <w:r w:rsidR="003F1B2F"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que son adquiridos por </w:t>
      </w:r>
      <w:r w:rsidRPr="009863F2">
        <w:rPr>
          <w:rFonts w:ascii="Calibri Light" w:hAnsi="Calibri Light" w:cs="Arial"/>
          <w:sz w:val="24"/>
          <w:szCs w:val="24"/>
          <w:lang w:val="es-ES_tradnl"/>
        </w:rPr>
        <w:lastRenderedPageBreak/>
        <w:t xml:space="preserve">inversionistas </w:t>
      </w:r>
      <w:r w:rsidR="003F1B2F" w:rsidRPr="009863F2">
        <w:rPr>
          <w:rFonts w:ascii="Calibri Light" w:hAnsi="Calibri Light" w:cs="Arial"/>
          <w:sz w:val="24"/>
          <w:szCs w:val="24"/>
          <w:lang w:val="es-ES_tradnl"/>
        </w:rPr>
        <w:t xml:space="preserve">con distinto apetito de riesgo </w:t>
      </w:r>
      <w:r w:rsidRPr="009863F2">
        <w:rPr>
          <w:rFonts w:ascii="Calibri Light" w:hAnsi="Calibri Light" w:cs="Arial"/>
          <w:sz w:val="24"/>
          <w:szCs w:val="24"/>
          <w:lang w:val="es-ES_tradnl"/>
        </w:rPr>
        <w:t>en los mercados de capital</w:t>
      </w:r>
      <w:r w:rsidR="003F1B2F" w:rsidRPr="009863F2">
        <w:rPr>
          <w:rFonts w:ascii="Calibri Light" w:hAnsi="Calibri Light" w:cs="Arial"/>
          <w:sz w:val="24"/>
          <w:szCs w:val="24"/>
          <w:lang w:val="es-ES_tradnl"/>
        </w:rPr>
        <w:t xml:space="preserve"> (</w:t>
      </w:r>
      <w:r w:rsidR="00924EEB" w:rsidRPr="009863F2">
        <w:rPr>
          <w:rFonts w:ascii="Calibri Light" w:hAnsi="Calibri Light" w:cs="Arial"/>
          <w:sz w:val="24"/>
          <w:szCs w:val="24"/>
          <w:lang w:val="es-ES_tradnl"/>
        </w:rPr>
        <w:t>sobre todo</w:t>
      </w:r>
      <w:r w:rsidR="003F1B2F" w:rsidRPr="009863F2">
        <w:rPr>
          <w:rFonts w:ascii="Calibri Light" w:hAnsi="Calibri Light" w:cs="Arial"/>
          <w:sz w:val="24"/>
          <w:szCs w:val="24"/>
          <w:lang w:val="es-ES_tradnl"/>
        </w:rPr>
        <w:t xml:space="preserve">, </w:t>
      </w:r>
      <w:r w:rsidR="00924EEB" w:rsidRPr="009863F2">
        <w:rPr>
          <w:rFonts w:ascii="Calibri Light" w:hAnsi="Calibri Light" w:cs="Arial"/>
          <w:sz w:val="24"/>
          <w:szCs w:val="24"/>
          <w:lang w:val="es-ES_tradnl"/>
        </w:rPr>
        <w:t>debido a</w:t>
      </w:r>
      <w:r w:rsidR="003F1B2F" w:rsidRPr="009863F2">
        <w:rPr>
          <w:rFonts w:ascii="Calibri Light" w:hAnsi="Calibri Light" w:cs="Arial"/>
          <w:sz w:val="24"/>
          <w:szCs w:val="24"/>
          <w:lang w:val="es-ES_tradnl"/>
        </w:rPr>
        <w:t>l tiempo y</w:t>
      </w:r>
      <w:r w:rsidR="00924EEB" w:rsidRPr="009863F2">
        <w:rPr>
          <w:rFonts w:ascii="Calibri Light" w:hAnsi="Calibri Light" w:cs="Arial"/>
          <w:sz w:val="24"/>
          <w:szCs w:val="24"/>
          <w:lang w:val="es-ES_tradnl"/>
        </w:rPr>
        <w:t xml:space="preserve"> al</w:t>
      </w:r>
      <w:r w:rsidR="003F1B2F" w:rsidRPr="009863F2">
        <w:rPr>
          <w:rFonts w:ascii="Calibri Light" w:hAnsi="Calibri Light" w:cs="Arial"/>
          <w:sz w:val="24"/>
          <w:szCs w:val="24"/>
          <w:lang w:val="es-ES_tradnl"/>
        </w:rPr>
        <w:t xml:space="preserve"> rendimiento, prevalecen los inversionistas institucionales)</w:t>
      </w:r>
      <w:r w:rsidRPr="009863F2">
        <w:rPr>
          <w:rFonts w:ascii="Calibri Light" w:hAnsi="Calibri Light" w:cs="Arial"/>
          <w:sz w:val="24"/>
          <w:szCs w:val="24"/>
          <w:lang w:val="es-ES_tradnl"/>
        </w:rPr>
        <w:t xml:space="preserve">. </w:t>
      </w:r>
    </w:p>
    <w:p w14:paraId="3B3CCFC4" w14:textId="77777777" w:rsidR="00AB6E92" w:rsidRDefault="00AB6E92" w:rsidP="009863F2">
      <w:pPr>
        <w:spacing w:after="0" w:line="240" w:lineRule="auto"/>
        <w:jc w:val="both"/>
        <w:rPr>
          <w:rFonts w:ascii="Calibri Light" w:hAnsi="Calibri Light" w:cs="Arial"/>
          <w:sz w:val="24"/>
          <w:szCs w:val="24"/>
          <w:lang w:val="es-ES_tradnl"/>
        </w:rPr>
      </w:pPr>
    </w:p>
    <w:p w14:paraId="6E4F1A16" w14:textId="54C240CD" w:rsidR="00BC6E70"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Este proceso</w:t>
      </w:r>
      <w:r w:rsidR="003F1B2F"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permite</w:t>
      </w:r>
      <w:r w:rsidR="0070507E"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en primer lugar, una rotación más rápida de los recursos que manejan las IF, ya que los activos salen</w:t>
      </w:r>
      <w:r w:rsidR="004C4314" w:rsidRPr="009863F2">
        <w:rPr>
          <w:rStyle w:val="FootnoteReference"/>
          <w:rFonts w:ascii="Calibri Light" w:hAnsi="Calibri Light" w:cs="Arial"/>
          <w:sz w:val="24"/>
          <w:szCs w:val="24"/>
          <w:lang w:val="es-ES_tradnl"/>
        </w:rPr>
        <w:footnoteReference w:id="10"/>
      </w:r>
      <w:r w:rsidRPr="009863F2">
        <w:rPr>
          <w:rFonts w:ascii="Calibri Light" w:hAnsi="Calibri Light" w:cs="Arial"/>
          <w:sz w:val="24"/>
          <w:szCs w:val="24"/>
          <w:lang w:val="es-ES_tradnl"/>
        </w:rPr>
        <w:t xml:space="preserve"> de sus balances antes de su vencimiento, a cambio de recursos para originar nuevos créditos</w:t>
      </w:r>
      <w:r w:rsidR="004C4314" w:rsidRPr="009863F2">
        <w:rPr>
          <w:rFonts w:ascii="Calibri Light" w:hAnsi="Calibri Light" w:cs="Arial"/>
          <w:sz w:val="24"/>
          <w:szCs w:val="24"/>
          <w:lang w:val="es-ES_tradnl"/>
        </w:rPr>
        <w:t xml:space="preserve"> (potenciando así la existencia de recursos a mediano y largo plazo sin afectar el resto de las operaciones de las IF)</w:t>
      </w:r>
      <w:r w:rsidRPr="009863F2">
        <w:rPr>
          <w:rFonts w:ascii="Calibri Light" w:hAnsi="Calibri Light" w:cs="Arial"/>
          <w:sz w:val="24"/>
          <w:szCs w:val="24"/>
          <w:lang w:val="es-ES_tradnl"/>
        </w:rPr>
        <w:t>.</w:t>
      </w:r>
      <w:r w:rsidR="0070507E" w:rsidRPr="009863F2">
        <w:rPr>
          <w:rFonts w:ascii="Calibri Light" w:hAnsi="Calibri Light" w:cs="Arial"/>
          <w:sz w:val="24"/>
          <w:szCs w:val="24"/>
          <w:lang w:val="es-ES_tradnl"/>
        </w:rPr>
        <w:t xml:space="preserve"> </w:t>
      </w:r>
      <w:r w:rsidR="004C4314" w:rsidRPr="009863F2">
        <w:rPr>
          <w:rFonts w:ascii="Calibri Light" w:hAnsi="Calibri Light" w:cs="Arial"/>
          <w:sz w:val="24"/>
          <w:szCs w:val="24"/>
          <w:lang w:val="es-ES_tradnl"/>
        </w:rPr>
        <w:t xml:space="preserve">Chile y Colombia </w:t>
      </w:r>
      <w:r w:rsidR="00B8126C" w:rsidRPr="009863F2">
        <w:rPr>
          <w:rFonts w:ascii="Calibri Light" w:hAnsi="Calibri Light" w:cs="Arial"/>
          <w:sz w:val="24"/>
          <w:szCs w:val="24"/>
          <w:lang w:val="es-ES_tradnl"/>
        </w:rPr>
        <w:t xml:space="preserve">constituyen </w:t>
      </w:r>
      <w:r w:rsidR="004C4314" w:rsidRPr="009863F2">
        <w:rPr>
          <w:rFonts w:ascii="Calibri Light" w:hAnsi="Calibri Light" w:cs="Arial"/>
          <w:sz w:val="24"/>
          <w:szCs w:val="24"/>
          <w:lang w:val="es-ES_tradnl"/>
        </w:rPr>
        <w:t xml:space="preserve">un ejemplo en la región en relación </w:t>
      </w:r>
      <w:r w:rsidR="00B8126C" w:rsidRPr="009863F2">
        <w:rPr>
          <w:rFonts w:ascii="Calibri Light" w:hAnsi="Calibri Light" w:cs="Arial"/>
          <w:sz w:val="24"/>
          <w:szCs w:val="24"/>
          <w:lang w:val="es-ES_tradnl"/>
        </w:rPr>
        <w:t>con e</w:t>
      </w:r>
      <w:r w:rsidR="004C4314" w:rsidRPr="009863F2">
        <w:rPr>
          <w:rFonts w:ascii="Calibri Light" w:hAnsi="Calibri Light" w:cs="Arial"/>
          <w:sz w:val="24"/>
          <w:szCs w:val="24"/>
          <w:lang w:val="es-ES_tradnl"/>
        </w:rPr>
        <w:t>l desarrollo de este mercado</w:t>
      </w:r>
      <w:r w:rsidR="00B8126C" w:rsidRPr="009863F2">
        <w:rPr>
          <w:rFonts w:ascii="Calibri Light" w:hAnsi="Calibri Light" w:cs="Arial"/>
          <w:sz w:val="24"/>
          <w:szCs w:val="24"/>
          <w:lang w:val="es-ES_tradnl"/>
        </w:rPr>
        <w:t>,</w:t>
      </w:r>
      <w:r w:rsidR="004C4314" w:rsidRPr="009863F2">
        <w:rPr>
          <w:rFonts w:ascii="Calibri Light" w:hAnsi="Calibri Light" w:cs="Arial"/>
          <w:sz w:val="24"/>
          <w:szCs w:val="24"/>
          <w:lang w:val="es-ES_tradnl"/>
        </w:rPr>
        <w:t xml:space="preserve"> </w:t>
      </w:r>
      <w:r w:rsidR="00B8126C" w:rsidRPr="009863F2">
        <w:rPr>
          <w:rFonts w:ascii="Calibri Light" w:hAnsi="Calibri Light" w:cs="Arial"/>
          <w:sz w:val="24"/>
          <w:szCs w:val="24"/>
          <w:lang w:val="es-ES_tradnl"/>
        </w:rPr>
        <w:t>en el cual combinan</w:t>
      </w:r>
      <w:r w:rsidR="004C4314" w:rsidRPr="009863F2">
        <w:rPr>
          <w:rFonts w:ascii="Calibri Light" w:hAnsi="Calibri Light" w:cs="Arial"/>
          <w:sz w:val="24"/>
          <w:szCs w:val="24"/>
          <w:lang w:val="es-ES_tradnl"/>
        </w:rPr>
        <w:t xml:space="preserve"> la existencia de fondos de vivienda con la posibilidad de su securitización</w:t>
      </w:r>
      <w:r w:rsidRPr="009863F2">
        <w:rPr>
          <w:rFonts w:ascii="Calibri Light" w:hAnsi="Calibri Light" w:cs="Arial"/>
          <w:sz w:val="24"/>
          <w:szCs w:val="24"/>
          <w:lang w:val="es-ES_tradnl"/>
        </w:rPr>
        <w:t>.</w:t>
      </w:r>
    </w:p>
    <w:p w14:paraId="330F6450" w14:textId="77777777" w:rsidR="00AB6E92" w:rsidRDefault="00AB6E92" w:rsidP="009863F2">
      <w:pPr>
        <w:spacing w:after="0" w:line="240" w:lineRule="auto"/>
        <w:jc w:val="both"/>
        <w:rPr>
          <w:rFonts w:ascii="Calibri Light" w:hAnsi="Calibri Light" w:cs="Arial"/>
          <w:i/>
          <w:sz w:val="24"/>
          <w:szCs w:val="24"/>
          <w:lang w:val="es-AR"/>
        </w:rPr>
      </w:pPr>
    </w:p>
    <w:p w14:paraId="6BA8A10C" w14:textId="2C682991" w:rsidR="00831048" w:rsidRPr="009863F2" w:rsidRDefault="00831048" w:rsidP="009863F2">
      <w:pPr>
        <w:spacing w:after="0" w:line="240" w:lineRule="auto"/>
        <w:jc w:val="both"/>
        <w:rPr>
          <w:rFonts w:ascii="Calibri Light" w:hAnsi="Calibri Light" w:cs="Arial"/>
          <w:sz w:val="24"/>
          <w:szCs w:val="24"/>
          <w:lang w:val="es-ES_tradnl"/>
        </w:rPr>
      </w:pPr>
      <w:r w:rsidRPr="009863F2">
        <w:rPr>
          <w:rFonts w:ascii="Calibri Light" w:hAnsi="Calibri Light" w:cs="Arial"/>
          <w:i/>
          <w:sz w:val="24"/>
          <w:szCs w:val="24"/>
          <w:lang w:val="es-AR"/>
        </w:rPr>
        <w:t>Crowdfun</w:t>
      </w:r>
      <w:r w:rsidR="003026AB" w:rsidRPr="009863F2">
        <w:rPr>
          <w:rFonts w:ascii="Calibri Light" w:hAnsi="Calibri Light" w:cs="Arial"/>
          <w:i/>
          <w:sz w:val="24"/>
          <w:szCs w:val="24"/>
          <w:lang w:val="es-AR"/>
        </w:rPr>
        <w:t>ding</w:t>
      </w:r>
      <w:r w:rsidR="000F5189" w:rsidRPr="009863F2">
        <w:rPr>
          <w:rStyle w:val="FootnoteReference"/>
          <w:rFonts w:ascii="Calibri Light" w:hAnsi="Calibri Light" w:cs="Arial"/>
          <w:i/>
          <w:sz w:val="24"/>
          <w:szCs w:val="24"/>
          <w:lang w:val="es-AR"/>
        </w:rPr>
        <w:footnoteReference w:id="11"/>
      </w:r>
      <w:r w:rsidRPr="009863F2">
        <w:rPr>
          <w:rFonts w:ascii="Calibri Light" w:hAnsi="Calibri Light" w:cs="Arial"/>
          <w:i/>
          <w:sz w:val="24"/>
          <w:szCs w:val="24"/>
          <w:lang w:val="es-AR"/>
        </w:rPr>
        <w:t xml:space="preserve">. </w:t>
      </w:r>
      <w:r w:rsidR="003026AB" w:rsidRPr="009863F2">
        <w:rPr>
          <w:rFonts w:ascii="Calibri Light" w:hAnsi="Calibri Light" w:cs="Arial"/>
          <w:sz w:val="24"/>
          <w:szCs w:val="24"/>
          <w:lang w:val="es-AR"/>
        </w:rPr>
        <w:t xml:space="preserve">A nivel global, son cada vez más frecuentes los casos de financiamiento colectivo o </w:t>
      </w:r>
      <w:r w:rsidR="003026AB" w:rsidRPr="009863F2">
        <w:rPr>
          <w:rFonts w:ascii="Calibri Light" w:hAnsi="Calibri Light" w:cs="Arial"/>
          <w:i/>
          <w:sz w:val="24"/>
          <w:szCs w:val="24"/>
          <w:lang w:val="es-AR"/>
        </w:rPr>
        <w:t>crowdfunding</w:t>
      </w:r>
      <w:r w:rsidR="003026AB" w:rsidRPr="009863F2">
        <w:rPr>
          <w:rFonts w:ascii="Calibri Light" w:hAnsi="Calibri Light" w:cs="Arial"/>
          <w:sz w:val="24"/>
          <w:szCs w:val="24"/>
          <w:lang w:val="es-AR"/>
        </w:rPr>
        <w:t xml:space="preserve"> en el mercado de vivienda, tanto a nivel inmobiliario como hipotecario. </w:t>
      </w:r>
      <w:r w:rsidR="00B8126C" w:rsidRPr="009863F2">
        <w:rPr>
          <w:rFonts w:ascii="Calibri Light" w:hAnsi="Calibri Light" w:cs="Arial"/>
          <w:sz w:val="24"/>
          <w:szCs w:val="24"/>
          <w:lang w:val="es-AR"/>
        </w:rPr>
        <w:t>Mediante e</w:t>
      </w:r>
      <w:r w:rsidR="003026AB" w:rsidRPr="009863F2">
        <w:rPr>
          <w:rFonts w:ascii="Calibri Light" w:hAnsi="Calibri Light" w:cs="Arial"/>
          <w:sz w:val="24"/>
          <w:szCs w:val="24"/>
          <w:lang w:val="es-AR"/>
        </w:rPr>
        <w:t xml:space="preserve">l </w:t>
      </w:r>
      <w:r w:rsidR="003026AB" w:rsidRPr="009863F2">
        <w:rPr>
          <w:rFonts w:ascii="Calibri Light" w:hAnsi="Calibri Light" w:cs="Arial"/>
          <w:i/>
          <w:sz w:val="24"/>
          <w:szCs w:val="24"/>
          <w:lang w:val="es-AR"/>
        </w:rPr>
        <w:t>crowdfunding</w:t>
      </w:r>
      <w:r w:rsidR="003026AB" w:rsidRPr="009863F2">
        <w:rPr>
          <w:rFonts w:ascii="Calibri Light" w:hAnsi="Calibri Light" w:cs="Arial"/>
          <w:sz w:val="24"/>
          <w:szCs w:val="24"/>
          <w:lang w:val="es-AR"/>
        </w:rPr>
        <w:t xml:space="preserve"> inmobiliario </w:t>
      </w:r>
      <w:r w:rsidR="00B8126C" w:rsidRPr="009863F2">
        <w:rPr>
          <w:rFonts w:ascii="Calibri Light" w:hAnsi="Calibri Light" w:cs="Arial"/>
          <w:sz w:val="24"/>
          <w:szCs w:val="24"/>
          <w:lang w:val="es-AR"/>
        </w:rPr>
        <w:t xml:space="preserve">se </w:t>
      </w:r>
      <w:r w:rsidR="003026AB" w:rsidRPr="009863F2">
        <w:rPr>
          <w:rFonts w:ascii="Calibri Light" w:hAnsi="Calibri Light" w:cs="Arial"/>
          <w:sz w:val="24"/>
          <w:szCs w:val="24"/>
          <w:lang w:val="es-AR"/>
        </w:rPr>
        <w:t xml:space="preserve">invierte de forma colectiva en la compra y </w:t>
      </w:r>
      <w:r w:rsidR="00B8126C" w:rsidRPr="009863F2">
        <w:rPr>
          <w:rFonts w:ascii="Calibri Light" w:hAnsi="Calibri Light" w:cs="Arial"/>
          <w:sz w:val="24"/>
          <w:szCs w:val="24"/>
          <w:lang w:val="es-AR"/>
        </w:rPr>
        <w:t xml:space="preserve">administración </w:t>
      </w:r>
      <w:r w:rsidR="003026AB" w:rsidRPr="009863F2">
        <w:rPr>
          <w:rFonts w:ascii="Calibri Light" w:hAnsi="Calibri Light" w:cs="Arial"/>
          <w:sz w:val="24"/>
          <w:szCs w:val="24"/>
          <w:lang w:val="es-AR"/>
        </w:rPr>
        <w:t xml:space="preserve">de un inmueble, mientras que </w:t>
      </w:r>
      <w:r w:rsidR="00B8126C" w:rsidRPr="009863F2">
        <w:rPr>
          <w:rFonts w:ascii="Calibri Light" w:hAnsi="Calibri Light" w:cs="Arial"/>
          <w:sz w:val="24"/>
          <w:szCs w:val="24"/>
          <w:lang w:val="es-AR"/>
        </w:rPr>
        <w:t>en el caso d</w:t>
      </w:r>
      <w:r w:rsidR="003026AB" w:rsidRPr="009863F2">
        <w:rPr>
          <w:rFonts w:ascii="Calibri Light" w:hAnsi="Calibri Light" w:cs="Arial"/>
          <w:sz w:val="24"/>
          <w:szCs w:val="24"/>
          <w:lang w:val="es-AR"/>
        </w:rPr>
        <w:t xml:space="preserve">el </w:t>
      </w:r>
      <w:r w:rsidR="001719FA" w:rsidRPr="009863F2">
        <w:rPr>
          <w:rFonts w:ascii="Calibri Light" w:hAnsi="Calibri Light" w:cs="Arial"/>
          <w:i/>
          <w:sz w:val="24"/>
          <w:szCs w:val="24"/>
          <w:lang w:val="es-AR"/>
        </w:rPr>
        <w:t>crowdfunding</w:t>
      </w:r>
      <w:r w:rsidR="001719FA" w:rsidRPr="009863F2">
        <w:rPr>
          <w:rFonts w:ascii="Calibri Light" w:hAnsi="Calibri Light" w:cs="Arial"/>
          <w:sz w:val="24"/>
          <w:szCs w:val="24"/>
          <w:lang w:val="es-AR"/>
        </w:rPr>
        <w:t xml:space="preserve"> </w:t>
      </w:r>
      <w:r w:rsidR="003026AB" w:rsidRPr="009863F2">
        <w:rPr>
          <w:rFonts w:ascii="Calibri Light" w:hAnsi="Calibri Light" w:cs="Arial"/>
          <w:sz w:val="24"/>
          <w:szCs w:val="24"/>
          <w:lang w:val="es-AR"/>
        </w:rPr>
        <w:t>hipotecario</w:t>
      </w:r>
      <w:r w:rsidR="009A512A" w:rsidRPr="009863F2">
        <w:rPr>
          <w:rFonts w:ascii="Calibri Light" w:hAnsi="Calibri Light" w:cs="Arial"/>
          <w:sz w:val="24"/>
          <w:szCs w:val="24"/>
          <w:lang w:val="es-AR"/>
        </w:rPr>
        <w:t xml:space="preserve"> </w:t>
      </w:r>
      <w:r w:rsidR="00B8126C" w:rsidRPr="009863F2">
        <w:rPr>
          <w:rFonts w:ascii="Calibri Light" w:hAnsi="Calibri Light" w:cs="Arial"/>
          <w:sz w:val="24"/>
          <w:szCs w:val="24"/>
          <w:lang w:val="es-AR"/>
        </w:rPr>
        <w:t xml:space="preserve">se </w:t>
      </w:r>
      <w:r w:rsidR="009A512A" w:rsidRPr="009863F2">
        <w:rPr>
          <w:rFonts w:ascii="Calibri Light" w:hAnsi="Calibri Light" w:cs="Arial"/>
          <w:sz w:val="24"/>
          <w:szCs w:val="24"/>
          <w:lang w:val="es-AR"/>
        </w:rPr>
        <w:t xml:space="preserve">presta dinero a una persona física o jurídica </w:t>
      </w:r>
      <w:r w:rsidR="00B8126C" w:rsidRPr="009863F2">
        <w:rPr>
          <w:rFonts w:ascii="Calibri Light" w:hAnsi="Calibri Light" w:cs="Arial"/>
          <w:sz w:val="24"/>
          <w:szCs w:val="24"/>
          <w:lang w:val="es-AR"/>
        </w:rPr>
        <w:t>para que compre</w:t>
      </w:r>
      <w:r w:rsidR="009A512A" w:rsidRPr="009863F2">
        <w:rPr>
          <w:rFonts w:ascii="Calibri Light" w:hAnsi="Calibri Light" w:cs="Arial"/>
          <w:sz w:val="24"/>
          <w:szCs w:val="24"/>
          <w:lang w:val="es-AR"/>
        </w:rPr>
        <w:t xml:space="preserve"> una vivienda, con el respaldo de todo su patrimonio, presente y futuro, y la garantía real del bien hipotecado.</w:t>
      </w:r>
    </w:p>
    <w:p w14:paraId="783FA944" w14:textId="77777777" w:rsidR="00AB6E92" w:rsidRDefault="00AB6E92" w:rsidP="00AB6E92">
      <w:pPr>
        <w:pStyle w:val="Heading2"/>
        <w:spacing w:before="0" w:line="240" w:lineRule="auto"/>
        <w:ind w:left="792"/>
        <w:rPr>
          <w:rFonts w:ascii="Calibri Light" w:hAnsi="Calibri Light" w:cs="Arial"/>
          <w:szCs w:val="24"/>
          <w:lang w:val="es-ES_tradnl"/>
        </w:rPr>
      </w:pPr>
      <w:bookmarkStart w:id="10" w:name="_Toc477773137"/>
    </w:p>
    <w:p w14:paraId="3F37284B" w14:textId="461D973C" w:rsidR="00BC6E70" w:rsidRPr="009863F2" w:rsidRDefault="00BC6E70" w:rsidP="009863F2">
      <w:pPr>
        <w:pStyle w:val="Heading2"/>
        <w:numPr>
          <w:ilvl w:val="1"/>
          <w:numId w:val="1"/>
        </w:numPr>
        <w:spacing w:before="0" w:line="240" w:lineRule="auto"/>
        <w:rPr>
          <w:rFonts w:ascii="Calibri Light" w:hAnsi="Calibri Light" w:cs="Arial"/>
          <w:szCs w:val="24"/>
          <w:lang w:val="es-ES_tradnl"/>
        </w:rPr>
      </w:pPr>
      <w:bookmarkStart w:id="11" w:name="_Toc504406834"/>
      <w:r w:rsidRPr="009863F2">
        <w:rPr>
          <w:rFonts w:ascii="Calibri Light" w:hAnsi="Calibri Light" w:cs="Arial"/>
          <w:szCs w:val="24"/>
          <w:lang w:val="es-ES_tradnl"/>
        </w:rPr>
        <w:t xml:space="preserve">Usuarios finales: </w:t>
      </w:r>
      <w:r w:rsidR="00B8126C" w:rsidRPr="009863F2">
        <w:rPr>
          <w:rFonts w:ascii="Calibri Light" w:hAnsi="Calibri Light" w:cs="Arial"/>
          <w:szCs w:val="24"/>
          <w:lang w:val="es-ES_tradnl"/>
        </w:rPr>
        <w:t>f</w:t>
      </w:r>
      <w:r w:rsidRPr="009863F2">
        <w:rPr>
          <w:rFonts w:ascii="Calibri Light" w:hAnsi="Calibri Light" w:cs="Arial"/>
          <w:szCs w:val="24"/>
          <w:lang w:val="es-ES_tradnl"/>
        </w:rPr>
        <w:t xml:space="preserve">inanciamiento para promover el acceso a </w:t>
      </w:r>
      <w:r w:rsidR="00B8126C" w:rsidRPr="009863F2">
        <w:rPr>
          <w:rFonts w:ascii="Calibri Light" w:hAnsi="Calibri Light" w:cs="Arial"/>
          <w:szCs w:val="24"/>
          <w:lang w:val="es-ES_tradnl"/>
        </w:rPr>
        <w:t xml:space="preserve">la </w:t>
      </w:r>
      <w:r w:rsidRPr="009863F2">
        <w:rPr>
          <w:rFonts w:ascii="Calibri Light" w:hAnsi="Calibri Light" w:cs="Arial"/>
          <w:szCs w:val="24"/>
          <w:lang w:val="es-ES_tradnl"/>
        </w:rPr>
        <w:t>vivienda</w:t>
      </w:r>
      <w:bookmarkEnd w:id="10"/>
      <w:bookmarkEnd w:id="11"/>
    </w:p>
    <w:p w14:paraId="4211A47B" w14:textId="77777777" w:rsidR="0070507E" w:rsidRPr="00AB6E92" w:rsidRDefault="0070507E" w:rsidP="009863F2">
      <w:pPr>
        <w:pStyle w:val="Heading3"/>
        <w:spacing w:line="240" w:lineRule="auto"/>
        <w:rPr>
          <w:rFonts w:ascii="Calibri Light" w:hAnsi="Calibri Light" w:cs="Arial"/>
          <w:sz w:val="24"/>
          <w:szCs w:val="24"/>
          <w:lang w:val="es-ES_tradnl"/>
        </w:rPr>
      </w:pPr>
    </w:p>
    <w:p w14:paraId="39DFD75A" w14:textId="77777777"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Contexto general</w:t>
      </w:r>
    </w:p>
    <w:p w14:paraId="5B557B46" w14:textId="73003D6F" w:rsidR="0073426E"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Alrededor del 37% de los hogares de América Latina y el Caribe tenían algún déficit de vivienda en 2009, lo que equivale a casi 54 millones de familias. La mayor parte de este déficit es cualitativo (84%), </w:t>
      </w:r>
      <w:r w:rsidR="00B8126C" w:rsidRPr="009863F2">
        <w:rPr>
          <w:rFonts w:ascii="Calibri Light" w:hAnsi="Calibri Light" w:cs="Arial"/>
          <w:sz w:val="24"/>
          <w:szCs w:val="24"/>
          <w:lang w:val="es-ES"/>
        </w:rPr>
        <w:t xml:space="preserve">y consiste en </w:t>
      </w:r>
      <w:r w:rsidRPr="009863F2">
        <w:rPr>
          <w:rFonts w:ascii="Calibri Light" w:hAnsi="Calibri Light" w:cs="Arial"/>
          <w:sz w:val="24"/>
          <w:szCs w:val="24"/>
          <w:lang w:val="es-ES"/>
        </w:rPr>
        <w:t xml:space="preserve">deficiencias </w:t>
      </w:r>
      <w:r w:rsidR="00B8126C" w:rsidRPr="009863F2">
        <w:rPr>
          <w:rFonts w:ascii="Calibri Light" w:hAnsi="Calibri Light" w:cs="Arial"/>
          <w:sz w:val="24"/>
          <w:szCs w:val="24"/>
          <w:lang w:val="es-ES"/>
        </w:rPr>
        <w:t xml:space="preserve">de </w:t>
      </w:r>
      <w:r w:rsidRPr="009863F2">
        <w:rPr>
          <w:rFonts w:ascii="Calibri Light" w:hAnsi="Calibri Light" w:cs="Arial"/>
          <w:sz w:val="24"/>
          <w:szCs w:val="24"/>
          <w:lang w:val="es-ES"/>
        </w:rPr>
        <w:t>infraestructura</w:t>
      </w:r>
      <w:r w:rsidR="00B8126C" w:rsidRPr="009863F2">
        <w:rPr>
          <w:rFonts w:ascii="Calibri Light" w:hAnsi="Calibri Light" w:cs="Arial"/>
          <w:sz w:val="24"/>
          <w:szCs w:val="24"/>
          <w:lang w:val="es-ES"/>
        </w:rPr>
        <w:t xml:space="preserve"> (</w:t>
      </w:r>
      <w:r w:rsidR="00903CA4" w:rsidRPr="009863F2">
        <w:rPr>
          <w:rFonts w:ascii="Calibri Light" w:hAnsi="Calibri Light" w:cs="Arial"/>
          <w:sz w:val="24"/>
          <w:szCs w:val="24"/>
          <w:lang w:val="es-ES"/>
        </w:rPr>
        <w:t>42</w:t>
      </w:r>
      <w:r w:rsidR="00B8126C" w:rsidRPr="009863F2">
        <w:rPr>
          <w:rFonts w:ascii="Calibri Light" w:hAnsi="Calibri Light" w:cs="Arial"/>
          <w:sz w:val="24"/>
          <w:szCs w:val="24"/>
          <w:lang w:val="es-ES"/>
        </w:rPr>
        <w:t>% de los hogares)</w:t>
      </w:r>
      <w:r w:rsidRPr="009863F2">
        <w:rPr>
          <w:rFonts w:ascii="Calibri Light" w:hAnsi="Calibri Light" w:cs="Arial"/>
          <w:sz w:val="24"/>
          <w:szCs w:val="24"/>
          <w:lang w:val="es-ES"/>
        </w:rPr>
        <w:t>, insuficiencias en materiales</w:t>
      </w:r>
      <w:r w:rsidR="00B8126C" w:rsidRPr="009863F2">
        <w:rPr>
          <w:rFonts w:ascii="Calibri Light" w:hAnsi="Calibri Light" w:cs="Arial"/>
          <w:sz w:val="24"/>
          <w:szCs w:val="24"/>
          <w:lang w:val="es-ES"/>
        </w:rPr>
        <w:t xml:space="preserve"> (</w:t>
      </w:r>
      <w:r w:rsidR="00903CA4" w:rsidRPr="009863F2">
        <w:rPr>
          <w:rFonts w:ascii="Calibri Light" w:hAnsi="Calibri Light" w:cs="Arial"/>
          <w:sz w:val="24"/>
          <w:szCs w:val="24"/>
          <w:lang w:val="es-ES"/>
        </w:rPr>
        <w:t>24</w:t>
      </w:r>
      <w:r w:rsidR="00B8126C" w:rsidRPr="009863F2">
        <w:rPr>
          <w:rFonts w:ascii="Calibri Light" w:hAnsi="Calibri Light" w:cs="Arial"/>
          <w:sz w:val="24"/>
          <w:szCs w:val="24"/>
          <w:lang w:val="es-ES"/>
        </w:rPr>
        <w:t>%)</w:t>
      </w:r>
      <w:r w:rsidRPr="009863F2">
        <w:rPr>
          <w:rFonts w:ascii="Calibri Light" w:hAnsi="Calibri Light" w:cs="Arial"/>
          <w:sz w:val="24"/>
          <w:szCs w:val="24"/>
          <w:lang w:val="es-ES"/>
        </w:rPr>
        <w:t>, carencia</w:t>
      </w:r>
      <w:r w:rsidR="00B8126C" w:rsidRPr="009863F2">
        <w:rPr>
          <w:rFonts w:ascii="Calibri Light" w:hAnsi="Calibri Light" w:cs="Arial"/>
          <w:sz w:val="24"/>
          <w:szCs w:val="24"/>
          <w:lang w:val="es-ES"/>
        </w:rPr>
        <w:t xml:space="preserve"> de una</w:t>
      </w:r>
      <w:r w:rsidRPr="009863F2">
        <w:rPr>
          <w:rFonts w:ascii="Calibri Light" w:hAnsi="Calibri Light" w:cs="Arial"/>
          <w:sz w:val="24"/>
          <w:szCs w:val="24"/>
          <w:lang w:val="es-ES"/>
        </w:rPr>
        <w:t xml:space="preserve"> tenencia segura </w:t>
      </w:r>
      <w:r w:rsidR="00B8126C" w:rsidRPr="009863F2">
        <w:rPr>
          <w:rFonts w:ascii="Calibri Light" w:hAnsi="Calibri Light" w:cs="Arial"/>
          <w:sz w:val="24"/>
          <w:szCs w:val="24"/>
          <w:lang w:val="es-ES"/>
        </w:rPr>
        <w:t>(</w:t>
      </w:r>
      <w:r w:rsidR="00903CA4" w:rsidRPr="009863F2">
        <w:rPr>
          <w:rFonts w:ascii="Calibri Light" w:hAnsi="Calibri Light" w:cs="Arial"/>
          <w:sz w:val="24"/>
          <w:szCs w:val="24"/>
          <w:lang w:val="es-ES"/>
        </w:rPr>
        <w:t>22</w:t>
      </w:r>
      <w:r w:rsidR="00B8126C" w:rsidRPr="009863F2">
        <w:rPr>
          <w:rFonts w:ascii="Calibri Light" w:hAnsi="Calibri Light" w:cs="Arial"/>
          <w:sz w:val="24"/>
          <w:szCs w:val="24"/>
          <w:lang w:val="es-ES"/>
        </w:rPr>
        <w:t xml:space="preserve">%) </w:t>
      </w:r>
      <w:r w:rsidRPr="009863F2">
        <w:rPr>
          <w:rFonts w:ascii="Calibri Light" w:hAnsi="Calibri Light" w:cs="Arial"/>
          <w:sz w:val="24"/>
          <w:szCs w:val="24"/>
          <w:lang w:val="es-ES"/>
        </w:rPr>
        <w:t>y problemas de hacinamiento</w:t>
      </w:r>
      <w:r w:rsidR="00B8126C" w:rsidRPr="009863F2">
        <w:rPr>
          <w:rFonts w:ascii="Calibri Light" w:hAnsi="Calibri Light" w:cs="Arial"/>
          <w:sz w:val="24"/>
          <w:szCs w:val="24"/>
          <w:lang w:val="es-ES"/>
        </w:rPr>
        <w:t xml:space="preserve"> (</w:t>
      </w:r>
      <w:r w:rsidR="00903CA4" w:rsidRPr="009863F2">
        <w:rPr>
          <w:rFonts w:ascii="Calibri Light" w:hAnsi="Calibri Light" w:cs="Arial"/>
          <w:sz w:val="24"/>
          <w:szCs w:val="24"/>
          <w:lang w:val="es-ES"/>
        </w:rPr>
        <w:t>12</w:t>
      </w:r>
      <w:r w:rsidR="00B8126C" w:rsidRPr="009863F2">
        <w:rPr>
          <w:rFonts w:ascii="Calibri Light" w:hAnsi="Calibri Light" w:cs="Arial"/>
          <w:sz w:val="24"/>
          <w:szCs w:val="24"/>
          <w:lang w:val="es-ES"/>
        </w:rPr>
        <w:t>%)</w:t>
      </w:r>
      <w:r w:rsidR="00A611AC" w:rsidRPr="009863F2">
        <w:rPr>
          <w:rFonts w:ascii="Calibri Light" w:hAnsi="Calibri Light" w:cs="Arial"/>
          <w:sz w:val="24"/>
          <w:szCs w:val="24"/>
          <w:lang w:val="es-ES"/>
        </w:rPr>
        <w:t xml:space="preserve"> </w:t>
      </w:r>
      <w:r w:rsidR="00A611AC" w:rsidRPr="009863F2">
        <w:rPr>
          <w:rFonts w:ascii="Calibri Light" w:hAnsi="Calibri Light" w:cs="Arial"/>
          <w:sz w:val="24"/>
          <w:szCs w:val="24"/>
          <w:lang w:val="es-ES_tradnl"/>
        </w:rPr>
        <w:t>(Bouillon, 2012)</w:t>
      </w:r>
      <w:r w:rsidRPr="009863F2">
        <w:rPr>
          <w:rFonts w:ascii="Calibri Light" w:hAnsi="Calibri Light" w:cs="Arial"/>
          <w:sz w:val="24"/>
          <w:szCs w:val="24"/>
          <w:lang w:val="es-ES"/>
        </w:rPr>
        <w:t xml:space="preserve">. </w:t>
      </w:r>
    </w:p>
    <w:p w14:paraId="1CF45EA8" w14:textId="77777777" w:rsidR="00AB6E92" w:rsidRDefault="00AB6E92" w:rsidP="009863F2">
      <w:pPr>
        <w:spacing w:after="0" w:line="240" w:lineRule="auto"/>
        <w:jc w:val="both"/>
        <w:rPr>
          <w:rFonts w:ascii="Calibri Light" w:hAnsi="Calibri Light" w:cs="Arial"/>
          <w:sz w:val="24"/>
          <w:szCs w:val="24"/>
          <w:lang w:val="es-ES"/>
        </w:rPr>
      </w:pPr>
    </w:p>
    <w:p w14:paraId="796715A0" w14:textId="3A95B959" w:rsidR="00BC6E70" w:rsidRPr="009863F2" w:rsidRDefault="00BC6E70" w:rsidP="009863F2">
      <w:pPr>
        <w:spacing w:after="0" w:line="240" w:lineRule="auto"/>
        <w:jc w:val="both"/>
        <w:rPr>
          <w:rFonts w:ascii="Calibri Light" w:hAnsi="Calibri Light" w:cs="Arial"/>
          <w:b/>
          <w:sz w:val="24"/>
          <w:szCs w:val="24"/>
          <w:lang w:val="es-ES"/>
        </w:rPr>
      </w:pPr>
      <w:r w:rsidRPr="009863F2">
        <w:rPr>
          <w:rFonts w:ascii="Calibri Light" w:hAnsi="Calibri Light" w:cs="Arial"/>
          <w:sz w:val="24"/>
          <w:szCs w:val="24"/>
          <w:lang w:val="es-ES"/>
        </w:rPr>
        <w:t xml:space="preserve">En cuanto al déficit cuantitativo (16%), el 6% de las familias de la región </w:t>
      </w:r>
      <w:r w:rsidR="00BD0171" w:rsidRPr="009863F2">
        <w:rPr>
          <w:rFonts w:ascii="Calibri Light" w:hAnsi="Calibri Light" w:cs="Arial"/>
          <w:sz w:val="24"/>
          <w:szCs w:val="24"/>
          <w:lang w:val="es-ES"/>
        </w:rPr>
        <w:t>–</w:t>
      </w:r>
      <w:r w:rsidRPr="009863F2">
        <w:rPr>
          <w:rFonts w:ascii="Calibri Light" w:hAnsi="Calibri Light" w:cs="Arial"/>
          <w:sz w:val="24"/>
          <w:szCs w:val="24"/>
          <w:lang w:val="es-ES"/>
        </w:rPr>
        <w:t>casi 9 millones de hogares</w:t>
      </w:r>
      <w:r w:rsidR="00BD0171" w:rsidRPr="009863F2">
        <w:rPr>
          <w:rFonts w:ascii="Calibri Light" w:hAnsi="Calibri Light" w:cs="Arial"/>
          <w:sz w:val="24"/>
          <w:szCs w:val="24"/>
          <w:lang w:val="es-ES"/>
        </w:rPr>
        <w:t>–</w:t>
      </w:r>
      <w:r w:rsidRPr="009863F2">
        <w:rPr>
          <w:rFonts w:ascii="Calibri Light" w:hAnsi="Calibri Light" w:cs="Arial"/>
          <w:sz w:val="24"/>
          <w:szCs w:val="24"/>
          <w:lang w:val="es-ES"/>
        </w:rPr>
        <w:t xml:space="preserve"> no cuenta con una vivienda o habita en inmuebles inadecuados que no tienen posibilidad de reparación. No obstante, </w:t>
      </w:r>
      <w:r w:rsidRPr="009863F2">
        <w:rPr>
          <w:rFonts w:ascii="Calibri Light" w:hAnsi="Calibri Light" w:cs="Arial"/>
          <w:sz w:val="24"/>
          <w:szCs w:val="24"/>
          <w:lang w:val="es-ES_tradnl"/>
        </w:rPr>
        <w:t xml:space="preserve">estos promedios esconden diferencias considerables entre países (18% en Costa Rica versus 78% en Nicaragua), y entre áreas rurales y urbanas (32% </w:t>
      </w:r>
      <w:r w:rsidR="00BD0171" w:rsidRPr="009863F2">
        <w:rPr>
          <w:rFonts w:ascii="Calibri Light" w:hAnsi="Calibri Light" w:cs="Arial"/>
          <w:sz w:val="24"/>
          <w:szCs w:val="24"/>
          <w:lang w:val="es-ES_tradnl"/>
        </w:rPr>
        <w:t>en el primer caso y</w:t>
      </w:r>
      <w:r w:rsidRPr="009863F2">
        <w:rPr>
          <w:rFonts w:ascii="Calibri Light" w:hAnsi="Calibri Light" w:cs="Arial"/>
          <w:sz w:val="24"/>
          <w:szCs w:val="24"/>
          <w:lang w:val="es-ES_tradnl"/>
        </w:rPr>
        <w:t xml:space="preserve"> 60% </w:t>
      </w:r>
      <w:r w:rsidR="00BD0171" w:rsidRPr="009863F2">
        <w:rPr>
          <w:rFonts w:ascii="Calibri Light" w:hAnsi="Calibri Light" w:cs="Arial"/>
          <w:sz w:val="24"/>
          <w:szCs w:val="24"/>
          <w:lang w:val="es-ES_tradnl"/>
        </w:rPr>
        <w:t>en el segundo</w:t>
      </w:r>
      <w:r w:rsidRPr="009863F2">
        <w:rPr>
          <w:rFonts w:ascii="Calibri Light" w:hAnsi="Calibri Light" w:cs="Arial"/>
          <w:sz w:val="24"/>
          <w:szCs w:val="24"/>
          <w:lang w:val="es-ES_tradnl"/>
        </w:rPr>
        <w:t>) (Bouillon, 2012).</w:t>
      </w:r>
    </w:p>
    <w:p w14:paraId="29F7CD59" w14:textId="77777777" w:rsidR="00AB6E92" w:rsidRDefault="00AB6E92" w:rsidP="009863F2">
      <w:pPr>
        <w:spacing w:after="0" w:line="240" w:lineRule="auto"/>
        <w:jc w:val="both"/>
        <w:rPr>
          <w:rFonts w:ascii="Calibri Light" w:eastAsia="Calibri" w:hAnsi="Calibri Light" w:cs="Arial"/>
          <w:sz w:val="24"/>
          <w:szCs w:val="24"/>
          <w:lang w:val="es-ES_tradnl"/>
        </w:rPr>
      </w:pPr>
    </w:p>
    <w:p w14:paraId="02B59C3B" w14:textId="40B990E1" w:rsidR="00BC6E70"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eastAsia="Calibri" w:hAnsi="Calibri Light" w:cs="Arial"/>
          <w:sz w:val="24"/>
          <w:szCs w:val="24"/>
          <w:lang w:val="es-ES_tradnl"/>
        </w:rPr>
        <w:t xml:space="preserve">Las causas fundamentales del déficit habitacional deben buscarse en los bajos ingresos de la población (pobreza) y en la ausencia de un sistema financiero que provea crédito hipotecario suficiente, así como </w:t>
      </w:r>
      <w:r w:rsidR="00BD0171" w:rsidRPr="009863F2">
        <w:rPr>
          <w:rFonts w:ascii="Calibri Light" w:eastAsia="Calibri" w:hAnsi="Calibri Light" w:cs="Arial"/>
          <w:sz w:val="24"/>
          <w:szCs w:val="24"/>
          <w:lang w:val="es-ES_tradnl"/>
        </w:rPr>
        <w:t xml:space="preserve">también en la falta </w:t>
      </w:r>
      <w:r w:rsidRPr="009863F2">
        <w:rPr>
          <w:rFonts w:ascii="Calibri Light" w:eastAsia="Calibri" w:hAnsi="Calibri Light" w:cs="Arial"/>
          <w:sz w:val="24"/>
          <w:szCs w:val="24"/>
          <w:lang w:val="es-ES_tradnl"/>
        </w:rPr>
        <w:t xml:space="preserve">de crédito adecuado </w:t>
      </w:r>
      <w:r w:rsidR="00BD0171" w:rsidRPr="009863F2">
        <w:rPr>
          <w:rFonts w:ascii="Calibri Light" w:eastAsia="Calibri" w:hAnsi="Calibri Light" w:cs="Arial"/>
          <w:sz w:val="24"/>
          <w:szCs w:val="24"/>
          <w:lang w:val="es-ES_tradnl"/>
        </w:rPr>
        <w:t>par</w:t>
      </w:r>
      <w:r w:rsidRPr="009863F2">
        <w:rPr>
          <w:rFonts w:ascii="Calibri Light" w:eastAsia="Calibri" w:hAnsi="Calibri Light" w:cs="Arial"/>
          <w:sz w:val="24"/>
          <w:szCs w:val="24"/>
          <w:lang w:val="es-ES_tradnl"/>
        </w:rPr>
        <w:t xml:space="preserve">a los promotores o </w:t>
      </w:r>
      <w:r w:rsidR="00BD0171" w:rsidRPr="009863F2">
        <w:rPr>
          <w:rFonts w:ascii="Calibri Light" w:eastAsia="Calibri" w:hAnsi="Calibri Light" w:cs="Arial"/>
          <w:sz w:val="24"/>
          <w:szCs w:val="24"/>
          <w:lang w:val="es-ES_tradnl"/>
        </w:rPr>
        <w:t xml:space="preserve">constructores </w:t>
      </w:r>
      <w:r w:rsidRPr="009863F2">
        <w:rPr>
          <w:rFonts w:ascii="Calibri Light" w:eastAsia="Calibri" w:hAnsi="Calibri Light" w:cs="Arial"/>
          <w:sz w:val="24"/>
          <w:szCs w:val="24"/>
          <w:lang w:val="es-ES_tradnl"/>
        </w:rPr>
        <w:t>de vivienda</w:t>
      </w:r>
      <w:r w:rsidR="00BD0171" w:rsidRPr="009863F2">
        <w:rPr>
          <w:rFonts w:ascii="Calibri Light" w:eastAsia="Calibri" w:hAnsi="Calibri Light" w:cs="Arial"/>
          <w:sz w:val="24"/>
          <w:szCs w:val="24"/>
          <w:lang w:val="es-ES_tradnl"/>
        </w:rPr>
        <w:t>.</w:t>
      </w:r>
      <w:r w:rsidRPr="009863F2">
        <w:rPr>
          <w:rStyle w:val="FootnoteReference"/>
          <w:rFonts w:ascii="Calibri Light" w:eastAsia="Calibri" w:hAnsi="Calibri Light" w:cs="Arial"/>
          <w:sz w:val="24"/>
          <w:szCs w:val="24"/>
        </w:rPr>
        <w:footnoteReference w:id="12"/>
      </w:r>
      <w:r w:rsidRPr="009863F2">
        <w:rPr>
          <w:rFonts w:ascii="Calibri Light" w:eastAsia="Calibri" w:hAnsi="Calibri Light" w:cs="Arial"/>
          <w:sz w:val="24"/>
          <w:szCs w:val="24"/>
          <w:lang w:val="es-ES_tradnl"/>
        </w:rPr>
        <w:t xml:space="preserve"> </w:t>
      </w:r>
      <w:r w:rsidRPr="009863F2">
        <w:rPr>
          <w:rFonts w:ascii="Calibri Light" w:hAnsi="Calibri Light" w:cs="Arial"/>
          <w:sz w:val="24"/>
          <w:szCs w:val="24"/>
          <w:lang w:val="es-ES_tradnl"/>
        </w:rPr>
        <w:t xml:space="preserve">En términos de ingreso, el déficit total para la región en el quintil urbano más pobre </w:t>
      </w:r>
      <w:r w:rsidRPr="009863F2">
        <w:rPr>
          <w:rFonts w:ascii="Calibri Light" w:hAnsi="Calibri Light" w:cs="Arial"/>
          <w:sz w:val="24"/>
          <w:szCs w:val="24"/>
          <w:lang w:val="es-ES_tradnl"/>
        </w:rPr>
        <w:lastRenderedPageBreak/>
        <w:t xml:space="preserve">es del 52% contra el 16% del quintil más rico. Aunque el problema de vivienda es más agudo en los segmentos de ingresos más bajos de la demanda, también existen carencias en los </w:t>
      </w:r>
      <w:r w:rsidR="00BD0171" w:rsidRPr="009863F2">
        <w:rPr>
          <w:rFonts w:ascii="Calibri Light" w:hAnsi="Calibri Light" w:cs="Arial"/>
          <w:sz w:val="24"/>
          <w:szCs w:val="24"/>
          <w:lang w:val="es-ES_tradnl"/>
        </w:rPr>
        <w:t xml:space="preserve">segmentos </w:t>
      </w:r>
      <w:r w:rsidRPr="009863F2">
        <w:rPr>
          <w:rFonts w:ascii="Calibri Light" w:hAnsi="Calibri Light" w:cs="Arial"/>
          <w:sz w:val="24"/>
          <w:szCs w:val="24"/>
          <w:lang w:val="es-ES_tradnl"/>
        </w:rPr>
        <w:t>altos. En efecto, solo una cuarta parte del 32% de los hogares urbanos en déficit es calificada como pobre en base a la línea de pobreza (Bouillon, 2012).</w:t>
      </w:r>
    </w:p>
    <w:p w14:paraId="6A79C03E" w14:textId="77777777" w:rsidR="00AB6E92" w:rsidRDefault="00AB6E92" w:rsidP="009863F2">
      <w:pPr>
        <w:spacing w:after="0" w:line="240" w:lineRule="auto"/>
        <w:rPr>
          <w:rFonts w:ascii="Calibri Light" w:hAnsi="Calibri Light" w:cs="Arial"/>
          <w:b/>
          <w:i/>
          <w:sz w:val="24"/>
          <w:szCs w:val="24"/>
          <w:lang w:val="es-ES_tradnl"/>
        </w:rPr>
      </w:pPr>
    </w:p>
    <w:p w14:paraId="0C3735B7" w14:textId="1B0358FE" w:rsidR="00BC6E70" w:rsidRPr="009863F2" w:rsidRDefault="00BD0171"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La p</w:t>
      </w:r>
      <w:r w:rsidR="00BC6E70" w:rsidRPr="009863F2">
        <w:rPr>
          <w:rFonts w:ascii="Calibri Light" w:hAnsi="Calibri Light" w:cs="Arial"/>
          <w:b/>
          <w:i/>
          <w:sz w:val="24"/>
          <w:szCs w:val="24"/>
          <w:lang w:val="es-ES_tradnl"/>
        </w:rPr>
        <w:t xml:space="preserve">roblemática </w:t>
      </w:r>
      <w:r w:rsidR="00BC6E70" w:rsidRPr="009863F2">
        <w:rPr>
          <w:rFonts w:ascii="Calibri Light" w:hAnsi="Calibri Light" w:cs="Arial"/>
          <w:b/>
          <w:bCs/>
          <w:i/>
          <w:sz w:val="24"/>
          <w:szCs w:val="24"/>
          <w:lang w:val="es-ES_tradnl"/>
        </w:rPr>
        <w:t>del</w:t>
      </w:r>
      <w:r w:rsidR="00BC6E70" w:rsidRPr="009863F2">
        <w:rPr>
          <w:rFonts w:ascii="Calibri Light" w:hAnsi="Calibri Light" w:cs="Arial"/>
          <w:b/>
          <w:i/>
          <w:sz w:val="24"/>
          <w:szCs w:val="24"/>
          <w:lang w:val="es-ES_tradnl"/>
        </w:rPr>
        <w:t xml:space="preserve"> financiamiento</w:t>
      </w:r>
    </w:p>
    <w:p w14:paraId="3D145C63" w14:textId="3BFBE1CA"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La escasa atención del sistema financiero a la demanda de crédito para </w:t>
      </w:r>
      <w:r w:rsidR="00ED2EE3"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 xml:space="preserve">vivienda, además de la insuficiencia </w:t>
      </w:r>
      <w:r w:rsidR="00400A6A" w:rsidRPr="009863F2">
        <w:rPr>
          <w:rFonts w:ascii="Calibri Light" w:hAnsi="Calibri Light" w:cs="Arial"/>
          <w:sz w:val="24"/>
          <w:szCs w:val="24"/>
          <w:lang w:val="es-ES"/>
        </w:rPr>
        <w:t>de financiamiento</w:t>
      </w:r>
      <w:r w:rsidRPr="009863F2">
        <w:rPr>
          <w:rFonts w:ascii="Calibri Light" w:hAnsi="Calibri Light" w:cs="Arial"/>
          <w:sz w:val="24"/>
          <w:szCs w:val="24"/>
          <w:lang w:val="es-ES"/>
        </w:rPr>
        <w:t xml:space="preserve"> de largo plazo ya mencionada, </w:t>
      </w:r>
      <w:r w:rsidR="00400A6A" w:rsidRPr="009863F2">
        <w:rPr>
          <w:rFonts w:ascii="Calibri Light" w:hAnsi="Calibri Light" w:cs="Arial"/>
          <w:sz w:val="24"/>
          <w:szCs w:val="24"/>
          <w:lang w:val="es-ES"/>
        </w:rPr>
        <w:t>tiene que ver con</w:t>
      </w:r>
      <w:r w:rsidRPr="009863F2">
        <w:rPr>
          <w:rFonts w:ascii="Calibri Light" w:hAnsi="Calibri Light" w:cs="Arial"/>
          <w:sz w:val="24"/>
          <w:szCs w:val="24"/>
          <w:lang w:val="es-ES"/>
        </w:rPr>
        <w:t xml:space="preserve"> la situación de pobreza de la población</w:t>
      </w:r>
      <w:r w:rsidR="00400A6A" w:rsidRPr="009863F2">
        <w:rPr>
          <w:rFonts w:ascii="Calibri Light" w:hAnsi="Calibri Light" w:cs="Arial"/>
          <w:sz w:val="24"/>
          <w:szCs w:val="24"/>
          <w:lang w:val="es-ES"/>
        </w:rPr>
        <w:t>,</w:t>
      </w:r>
      <w:r w:rsidRPr="009863F2">
        <w:rPr>
          <w:rFonts w:ascii="Calibri Light" w:hAnsi="Calibri Light" w:cs="Arial"/>
          <w:sz w:val="24"/>
          <w:szCs w:val="24"/>
          <w:lang w:val="es-ES"/>
        </w:rPr>
        <w:t xml:space="preserve"> que se suma a la </w:t>
      </w:r>
      <w:r w:rsidR="00400A6A" w:rsidRPr="009863F2">
        <w:rPr>
          <w:rFonts w:ascii="Calibri Light" w:hAnsi="Calibri Light" w:cs="Arial"/>
          <w:sz w:val="24"/>
          <w:szCs w:val="24"/>
          <w:lang w:val="es-ES"/>
        </w:rPr>
        <w:t xml:space="preserve">gran </w:t>
      </w:r>
      <w:r w:rsidRPr="009863F2">
        <w:rPr>
          <w:rFonts w:ascii="Calibri Light" w:hAnsi="Calibri Light" w:cs="Arial"/>
          <w:sz w:val="24"/>
          <w:szCs w:val="24"/>
          <w:lang w:val="es-ES"/>
        </w:rPr>
        <w:t xml:space="preserve">informalidad laboral </w:t>
      </w:r>
      <w:r w:rsidRPr="009863F2">
        <w:rPr>
          <w:rFonts w:ascii="Calibri Light" w:eastAsia="Calibri" w:hAnsi="Calibri Light" w:cs="Arial"/>
          <w:sz w:val="24"/>
          <w:szCs w:val="24"/>
          <w:lang w:val="es-ES_tradnl"/>
        </w:rPr>
        <w:t xml:space="preserve">(Bouillon, </w:t>
      </w:r>
      <w:r w:rsidR="00903CA4" w:rsidRPr="009863F2">
        <w:rPr>
          <w:rFonts w:ascii="Calibri Light" w:eastAsia="Calibri" w:hAnsi="Calibri Light" w:cs="Arial"/>
          <w:sz w:val="24"/>
          <w:szCs w:val="24"/>
          <w:lang w:val="es-ES_tradnl"/>
        </w:rPr>
        <w:t>2012</w:t>
      </w:r>
      <w:r w:rsidR="00400A6A" w:rsidRPr="009863F2">
        <w:rPr>
          <w:rFonts w:ascii="Calibri Light" w:hAnsi="Calibri Light" w:cs="Arial"/>
          <w:sz w:val="24"/>
          <w:szCs w:val="24"/>
          <w:lang w:val="es-ES"/>
        </w:rPr>
        <w:t xml:space="preserve">; </w:t>
      </w:r>
      <w:r w:rsidRPr="009863F2">
        <w:rPr>
          <w:rFonts w:ascii="Calibri Light" w:hAnsi="Calibri Light" w:cs="Arial"/>
          <w:sz w:val="24"/>
          <w:szCs w:val="24"/>
          <w:lang w:val="es-ES"/>
        </w:rPr>
        <w:t>Bebczuk y Demaestri, 2013):</w:t>
      </w:r>
    </w:p>
    <w:p w14:paraId="3C479819" w14:textId="77777777" w:rsidR="00AB6E92" w:rsidRDefault="00AB6E92" w:rsidP="009863F2">
      <w:pPr>
        <w:spacing w:after="0" w:line="240" w:lineRule="auto"/>
        <w:jc w:val="both"/>
        <w:rPr>
          <w:rFonts w:ascii="Calibri Light" w:eastAsia="Calibri" w:hAnsi="Calibri Light" w:cs="Arial"/>
          <w:i/>
          <w:sz w:val="24"/>
          <w:szCs w:val="24"/>
          <w:lang w:val="es-ES_tradnl"/>
        </w:rPr>
      </w:pPr>
    </w:p>
    <w:p w14:paraId="5129278F" w14:textId="4787B56B" w:rsidR="00BC6E70" w:rsidRPr="009863F2" w:rsidRDefault="00BC6E70" w:rsidP="009863F2">
      <w:pPr>
        <w:spacing w:after="0" w:line="240" w:lineRule="auto"/>
        <w:jc w:val="both"/>
        <w:rPr>
          <w:rFonts w:ascii="Calibri Light" w:eastAsia="Calibri" w:hAnsi="Calibri Light" w:cs="Arial"/>
          <w:sz w:val="24"/>
          <w:szCs w:val="24"/>
          <w:lang w:val="es-ES_tradnl"/>
        </w:rPr>
      </w:pPr>
      <w:r w:rsidRPr="009863F2">
        <w:rPr>
          <w:rFonts w:ascii="Calibri Light" w:eastAsia="Calibri" w:hAnsi="Calibri Light" w:cs="Arial"/>
          <w:i/>
          <w:sz w:val="24"/>
          <w:szCs w:val="24"/>
          <w:lang w:val="es-ES_tradnl"/>
        </w:rPr>
        <w:t>Pobreza.</w:t>
      </w:r>
      <w:r w:rsidRPr="009863F2">
        <w:rPr>
          <w:rFonts w:ascii="Calibri Light" w:eastAsia="Calibri" w:hAnsi="Calibri Light" w:cs="Arial"/>
          <w:sz w:val="24"/>
          <w:szCs w:val="24"/>
          <w:lang w:val="es-ES_tradnl"/>
        </w:rPr>
        <w:t xml:space="preserve"> </w:t>
      </w:r>
      <w:r w:rsidR="00400A6A" w:rsidRPr="009863F2">
        <w:rPr>
          <w:rFonts w:ascii="Calibri Light" w:eastAsia="Calibri" w:hAnsi="Calibri Light" w:cs="Arial"/>
          <w:sz w:val="24"/>
          <w:szCs w:val="24"/>
          <w:lang w:val="es-ES_tradnl"/>
        </w:rPr>
        <w:t xml:space="preserve">Debido a </w:t>
      </w:r>
      <w:r w:rsidRPr="009863F2">
        <w:rPr>
          <w:rFonts w:ascii="Calibri Light" w:eastAsia="Calibri" w:hAnsi="Calibri Light" w:cs="Arial"/>
          <w:sz w:val="24"/>
          <w:szCs w:val="24"/>
          <w:lang w:val="es-ES_tradnl"/>
        </w:rPr>
        <w:t xml:space="preserve">su volumen, </w:t>
      </w:r>
      <w:r w:rsidR="00400A6A" w:rsidRPr="009863F2">
        <w:rPr>
          <w:rFonts w:ascii="Calibri Light" w:eastAsia="Calibri" w:hAnsi="Calibri Light" w:cs="Arial"/>
          <w:sz w:val="24"/>
          <w:szCs w:val="24"/>
          <w:lang w:val="es-ES_tradnl"/>
        </w:rPr>
        <w:t xml:space="preserve">la compra de una vivienda </w:t>
      </w:r>
      <w:r w:rsidRPr="009863F2">
        <w:rPr>
          <w:rFonts w:ascii="Calibri Light" w:eastAsia="Calibri" w:hAnsi="Calibri Light" w:cs="Arial"/>
          <w:sz w:val="24"/>
          <w:szCs w:val="24"/>
          <w:lang w:val="es-ES_tradnl"/>
        </w:rPr>
        <w:t xml:space="preserve">no solo es la decisión de inversión </w:t>
      </w:r>
      <w:r w:rsidR="00400A6A" w:rsidRPr="009863F2">
        <w:rPr>
          <w:rFonts w:ascii="Calibri Light" w:eastAsia="Calibri" w:hAnsi="Calibri Light" w:cs="Arial"/>
          <w:sz w:val="24"/>
          <w:szCs w:val="24"/>
          <w:lang w:val="es-ES_tradnl"/>
        </w:rPr>
        <w:t xml:space="preserve">más importante </w:t>
      </w:r>
      <w:r w:rsidRPr="009863F2">
        <w:rPr>
          <w:rFonts w:ascii="Calibri Light" w:eastAsia="Calibri" w:hAnsi="Calibri Light" w:cs="Arial"/>
          <w:sz w:val="24"/>
          <w:szCs w:val="24"/>
          <w:lang w:val="es-ES_tradnl"/>
        </w:rPr>
        <w:t xml:space="preserve">de la mayoría de la población, sino que </w:t>
      </w:r>
      <w:r w:rsidR="00400A6A" w:rsidRPr="009863F2">
        <w:rPr>
          <w:rFonts w:ascii="Calibri Light" w:eastAsia="Calibri" w:hAnsi="Calibri Light" w:cs="Arial"/>
          <w:sz w:val="24"/>
          <w:szCs w:val="24"/>
          <w:lang w:val="es-ES_tradnl"/>
        </w:rPr>
        <w:t xml:space="preserve">además </w:t>
      </w:r>
      <w:r w:rsidRPr="009863F2">
        <w:rPr>
          <w:rFonts w:ascii="Calibri Light" w:eastAsia="Calibri" w:hAnsi="Calibri Light" w:cs="Arial"/>
          <w:sz w:val="24"/>
          <w:szCs w:val="24"/>
          <w:lang w:val="es-ES_tradnl"/>
        </w:rPr>
        <w:t xml:space="preserve">depende </w:t>
      </w:r>
      <w:r w:rsidR="00400A6A" w:rsidRPr="009863F2">
        <w:rPr>
          <w:rFonts w:ascii="Calibri Light" w:eastAsia="Calibri" w:hAnsi="Calibri Light" w:cs="Arial"/>
          <w:sz w:val="24"/>
          <w:szCs w:val="24"/>
          <w:lang w:val="es-ES_tradnl"/>
        </w:rPr>
        <w:t xml:space="preserve">de manera </w:t>
      </w:r>
      <w:r w:rsidRPr="009863F2">
        <w:rPr>
          <w:rFonts w:ascii="Calibri Light" w:eastAsia="Calibri" w:hAnsi="Calibri Light" w:cs="Arial"/>
          <w:sz w:val="24"/>
          <w:szCs w:val="24"/>
          <w:lang w:val="es-ES_tradnl"/>
        </w:rPr>
        <w:t xml:space="preserve">crítica de la disponibilidad de crédito. Por lo general se asume que una familia no </w:t>
      </w:r>
      <w:r w:rsidR="00400A6A" w:rsidRPr="009863F2">
        <w:rPr>
          <w:rFonts w:ascii="Calibri Light" w:eastAsia="Calibri" w:hAnsi="Calibri Light" w:cs="Arial"/>
          <w:sz w:val="24"/>
          <w:szCs w:val="24"/>
          <w:lang w:val="es-ES_tradnl"/>
        </w:rPr>
        <w:t xml:space="preserve">debería </w:t>
      </w:r>
      <w:r w:rsidRPr="009863F2">
        <w:rPr>
          <w:rFonts w:ascii="Calibri Light" w:eastAsia="Calibri" w:hAnsi="Calibri Light" w:cs="Arial"/>
          <w:sz w:val="24"/>
          <w:szCs w:val="24"/>
          <w:lang w:val="es-ES_tradnl"/>
        </w:rPr>
        <w:t xml:space="preserve">gastar más del 30% de sus ingresos en pagar un préstamo hipotecario, de modo de no afectar sus otras necesidades básicas. </w:t>
      </w:r>
      <w:r w:rsidR="00400A6A" w:rsidRPr="009863F2">
        <w:rPr>
          <w:rFonts w:ascii="Calibri Light" w:eastAsia="Calibri" w:hAnsi="Calibri Light" w:cs="Arial"/>
          <w:sz w:val="24"/>
          <w:szCs w:val="24"/>
          <w:lang w:val="es-ES_tradnl"/>
        </w:rPr>
        <w:t xml:space="preserve">Si se considera </w:t>
      </w:r>
      <w:r w:rsidRPr="009863F2">
        <w:rPr>
          <w:rFonts w:ascii="Calibri Light" w:eastAsia="Calibri" w:hAnsi="Calibri Light" w:cs="Arial"/>
          <w:sz w:val="24"/>
          <w:szCs w:val="24"/>
          <w:lang w:val="es-ES_tradnl"/>
        </w:rPr>
        <w:t>una tasa de interés real de</w:t>
      </w:r>
      <w:r w:rsidR="00400A6A" w:rsidRPr="009863F2">
        <w:rPr>
          <w:rFonts w:ascii="Calibri Light" w:eastAsia="Calibri" w:hAnsi="Calibri Light" w:cs="Arial"/>
          <w:sz w:val="24"/>
          <w:szCs w:val="24"/>
          <w:lang w:val="es-ES_tradnl"/>
        </w:rPr>
        <w:t>l</w:t>
      </w:r>
      <w:r w:rsidRPr="009863F2">
        <w:rPr>
          <w:rFonts w:ascii="Calibri Light" w:eastAsia="Calibri" w:hAnsi="Calibri Light" w:cs="Arial"/>
          <w:sz w:val="24"/>
          <w:szCs w:val="24"/>
          <w:lang w:val="es-ES_tradnl"/>
        </w:rPr>
        <w:t xml:space="preserve"> 6% para la compra de una vivienda básica a un precio de US$15.000, el 19% de los hogares de la región no podría acceder </w:t>
      </w:r>
      <w:r w:rsidR="00400A6A" w:rsidRPr="009863F2">
        <w:rPr>
          <w:rFonts w:ascii="Calibri Light" w:eastAsia="Calibri" w:hAnsi="Calibri Light" w:cs="Arial"/>
          <w:sz w:val="24"/>
          <w:szCs w:val="24"/>
          <w:lang w:val="es-ES_tradnl"/>
        </w:rPr>
        <w:t>a la misma en el mercado</w:t>
      </w:r>
      <w:r w:rsidRPr="009863F2">
        <w:rPr>
          <w:rFonts w:ascii="Calibri Light" w:eastAsia="Calibri" w:hAnsi="Calibri Light" w:cs="Arial"/>
          <w:sz w:val="24"/>
          <w:szCs w:val="24"/>
          <w:lang w:val="es-ES_tradnl"/>
        </w:rPr>
        <w:t xml:space="preserve"> formal, </w:t>
      </w:r>
      <w:r w:rsidR="00400A6A" w:rsidRPr="009863F2">
        <w:rPr>
          <w:rFonts w:ascii="Calibri Light" w:eastAsia="Calibri" w:hAnsi="Calibri Light" w:cs="Arial"/>
          <w:sz w:val="24"/>
          <w:szCs w:val="24"/>
          <w:lang w:val="es-ES_tradnl"/>
        </w:rPr>
        <w:t xml:space="preserve">cifra que en </w:t>
      </w:r>
      <w:r w:rsidRPr="009863F2">
        <w:rPr>
          <w:rFonts w:ascii="Calibri Light" w:eastAsia="Calibri" w:hAnsi="Calibri Light" w:cs="Arial"/>
          <w:sz w:val="24"/>
          <w:szCs w:val="24"/>
          <w:lang w:val="es-ES_tradnl"/>
        </w:rPr>
        <w:t xml:space="preserve">algunas ciudades </w:t>
      </w:r>
      <w:r w:rsidR="00400A6A" w:rsidRPr="009863F2">
        <w:rPr>
          <w:rFonts w:ascii="Calibri Light" w:eastAsia="Calibri" w:hAnsi="Calibri Light" w:cs="Arial"/>
          <w:sz w:val="24"/>
          <w:szCs w:val="24"/>
          <w:lang w:val="es-ES_tradnl"/>
        </w:rPr>
        <w:t>sería mucho</w:t>
      </w:r>
      <w:r w:rsidRPr="009863F2">
        <w:rPr>
          <w:rFonts w:ascii="Calibri Light" w:eastAsia="Calibri" w:hAnsi="Calibri Light" w:cs="Arial"/>
          <w:sz w:val="24"/>
          <w:szCs w:val="24"/>
          <w:lang w:val="es-ES_tradnl"/>
        </w:rPr>
        <w:t xml:space="preserve"> más elevad</w:t>
      </w:r>
      <w:r w:rsidR="00400A6A" w:rsidRPr="009863F2">
        <w:rPr>
          <w:rFonts w:ascii="Calibri Light" w:eastAsia="Calibri" w:hAnsi="Calibri Light" w:cs="Arial"/>
          <w:sz w:val="24"/>
          <w:szCs w:val="24"/>
          <w:lang w:val="es-ES_tradnl"/>
        </w:rPr>
        <w:t>a,</w:t>
      </w:r>
      <w:r w:rsidRPr="009863F2">
        <w:rPr>
          <w:rFonts w:ascii="Calibri Light" w:eastAsia="Calibri" w:hAnsi="Calibri Light" w:cs="Arial"/>
          <w:sz w:val="24"/>
          <w:szCs w:val="24"/>
          <w:lang w:val="es-ES_tradnl"/>
        </w:rPr>
        <w:t xml:space="preserve"> como La Paz (55%), Managua (43%) y Santa Cruz (36%) (Bouillon y Medell</w:t>
      </w:r>
      <w:r w:rsidR="00400A6A" w:rsidRPr="009863F2">
        <w:rPr>
          <w:rFonts w:ascii="Calibri Light" w:eastAsia="Calibri" w:hAnsi="Calibri Light" w:cs="Arial"/>
          <w:sz w:val="24"/>
          <w:szCs w:val="24"/>
          <w:lang w:val="es-ES_tradnl"/>
        </w:rPr>
        <w:t>í</w:t>
      </w:r>
      <w:r w:rsidRPr="009863F2">
        <w:rPr>
          <w:rFonts w:ascii="Calibri Light" w:eastAsia="Calibri" w:hAnsi="Calibri Light" w:cs="Arial"/>
          <w:sz w:val="24"/>
          <w:szCs w:val="24"/>
          <w:lang w:val="es-ES_tradnl"/>
        </w:rPr>
        <w:t xml:space="preserve">n, 2011). La situación se agrava si se </w:t>
      </w:r>
      <w:r w:rsidR="00400A6A" w:rsidRPr="009863F2">
        <w:rPr>
          <w:rFonts w:ascii="Calibri Light" w:eastAsia="Calibri" w:hAnsi="Calibri Light" w:cs="Arial"/>
          <w:sz w:val="24"/>
          <w:szCs w:val="24"/>
          <w:lang w:val="es-ES_tradnl"/>
        </w:rPr>
        <w:t xml:space="preserve">tiene en cuenta </w:t>
      </w:r>
      <w:r w:rsidRPr="009863F2">
        <w:rPr>
          <w:rFonts w:ascii="Calibri Light" w:eastAsia="Calibri" w:hAnsi="Calibri Light" w:cs="Arial"/>
          <w:sz w:val="24"/>
          <w:szCs w:val="24"/>
          <w:lang w:val="es-ES_tradnl"/>
        </w:rPr>
        <w:t xml:space="preserve">que, en gran parte de la región, la tasa de interés real y/o el precio de una vivienda básica son </w:t>
      </w:r>
      <w:r w:rsidR="00400A6A" w:rsidRPr="009863F2">
        <w:rPr>
          <w:rFonts w:ascii="Calibri Light" w:eastAsia="Calibri" w:hAnsi="Calibri Light" w:cs="Arial"/>
          <w:sz w:val="24"/>
          <w:szCs w:val="24"/>
          <w:lang w:val="es-ES_tradnl"/>
        </w:rPr>
        <w:t xml:space="preserve">superiores </w:t>
      </w:r>
      <w:r w:rsidRPr="009863F2">
        <w:rPr>
          <w:rFonts w:ascii="Calibri Light" w:eastAsia="Calibri" w:hAnsi="Calibri Light" w:cs="Arial"/>
          <w:sz w:val="24"/>
          <w:szCs w:val="24"/>
          <w:lang w:val="es-ES_tradnl"/>
        </w:rPr>
        <w:t xml:space="preserve">a los valores utilizados en </w:t>
      </w:r>
      <w:r w:rsidR="00400A6A" w:rsidRPr="009863F2">
        <w:rPr>
          <w:rFonts w:ascii="Calibri Light" w:eastAsia="Calibri" w:hAnsi="Calibri Light" w:cs="Arial"/>
          <w:sz w:val="24"/>
          <w:szCs w:val="24"/>
          <w:lang w:val="es-ES_tradnl"/>
        </w:rPr>
        <w:t xml:space="preserve">este </w:t>
      </w:r>
      <w:r w:rsidRPr="009863F2">
        <w:rPr>
          <w:rFonts w:ascii="Calibri Light" w:eastAsia="Calibri" w:hAnsi="Calibri Light" w:cs="Arial"/>
          <w:sz w:val="24"/>
          <w:szCs w:val="24"/>
          <w:lang w:val="es-ES_tradnl"/>
        </w:rPr>
        <w:t>ejercicio.</w:t>
      </w:r>
    </w:p>
    <w:p w14:paraId="45977C70" w14:textId="77777777" w:rsidR="00AB6E92" w:rsidRDefault="00AB6E92" w:rsidP="009863F2">
      <w:pPr>
        <w:spacing w:after="0" w:line="240" w:lineRule="auto"/>
        <w:jc w:val="both"/>
        <w:rPr>
          <w:rFonts w:ascii="Calibri Light" w:eastAsia="Calibri" w:hAnsi="Calibri Light" w:cs="Arial"/>
          <w:i/>
          <w:sz w:val="24"/>
          <w:szCs w:val="24"/>
          <w:lang w:val="es-ES_tradnl"/>
        </w:rPr>
      </w:pPr>
    </w:p>
    <w:p w14:paraId="32DF6F31" w14:textId="3A0DFC5E" w:rsidR="00BC6E70" w:rsidRPr="009863F2" w:rsidRDefault="00BC6E70" w:rsidP="009863F2">
      <w:pPr>
        <w:spacing w:after="0" w:line="240" w:lineRule="auto"/>
        <w:jc w:val="both"/>
        <w:rPr>
          <w:rFonts w:ascii="Calibri Light" w:eastAsia="Calibri" w:hAnsi="Calibri Light" w:cs="Arial"/>
          <w:sz w:val="24"/>
          <w:szCs w:val="24"/>
          <w:lang w:val="es-ES_tradnl"/>
        </w:rPr>
      </w:pPr>
      <w:r w:rsidRPr="009863F2">
        <w:rPr>
          <w:rFonts w:ascii="Calibri Light" w:eastAsia="Calibri" w:hAnsi="Calibri Light" w:cs="Arial"/>
          <w:i/>
          <w:sz w:val="24"/>
          <w:szCs w:val="24"/>
          <w:lang w:val="es-ES_tradnl"/>
        </w:rPr>
        <w:t>Informalidad laboral</w:t>
      </w:r>
      <w:r w:rsidRPr="009863F2">
        <w:rPr>
          <w:rFonts w:ascii="Calibri Light" w:eastAsia="Calibri" w:hAnsi="Calibri Light" w:cs="Arial"/>
          <w:sz w:val="24"/>
          <w:szCs w:val="24"/>
          <w:lang w:val="es-ES_tradnl"/>
        </w:rPr>
        <w:t>. La capacidad de documentar</w:t>
      </w:r>
      <w:r w:rsidR="00400A6A" w:rsidRPr="009863F2">
        <w:rPr>
          <w:rFonts w:ascii="Calibri Light" w:eastAsia="Calibri" w:hAnsi="Calibri Light" w:cs="Arial"/>
          <w:sz w:val="24"/>
          <w:szCs w:val="24"/>
          <w:lang w:val="es-ES_tradnl"/>
        </w:rPr>
        <w:t xml:space="preserve"> los</w:t>
      </w:r>
      <w:r w:rsidRPr="009863F2">
        <w:rPr>
          <w:rFonts w:ascii="Calibri Light" w:eastAsia="Calibri" w:hAnsi="Calibri Light" w:cs="Arial"/>
          <w:sz w:val="24"/>
          <w:szCs w:val="24"/>
          <w:lang w:val="es-ES_tradnl"/>
        </w:rPr>
        <w:t xml:space="preserve"> ingresos es un requisito previo para tener acceso al mercado hipotecario. Si un hogar no puede demostrar sus fuentes de ingreso, no logra acceder a las formas tradicionales de financiamiento para </w:t>
      </w:r>
      <w:r w:rsidR="00400A6A" w:rsidRPr="009863F2">
        <w:rPr>
          <w:rFonts w:ascii="Calibri Light" w:eastAsia="Calibri" w:hAnsi="Calibri Light" w:cs="Arial"/>
          <w:sz w:val="24"/>
          <w:szCs w:val="24"/>
          <w:lang w:val="es-ES_tradnl"/>
        </w:rPr>
        <w:t>adquirir o construir una</w:t>
      </w:r>
      <w:r w:rsidRPr="009863F2">
        <w:rPr>
          <w:rFonts w:ascii="Calibri Light" w:eastAsia="Calibri" w:hAnsi="Calibri Light" w:cs="Arial"/>
          <w:sz w:val="24"/>
          <w:szCs w:val="24"/>
          <w:lang w:val="es-ES_tradnl"/>
        </w:rPr>
        <w:t xml:space="preserve"> vivienda. De esta manera, la informalidad laboral previene al sistema financiero tradicional de atender a un gran número de familias de la región</w:t>
      </w:r>
      <w:r w:rsidR="00400A6A" w:rsidRPr="009863F2">
        <w:rPr>
          <w:rFonts w:ascii="Calibri Light" w:eastAsia="Calibri" w:hAnsi="Calibri Light" w:cs="Arial"/>
          <w:sz w:val="24"/>
          <w:szCs w:val="24"/>
          <w:lang w:val="es-ES_tradnl"/>
        </w:rPr>
        <w:t>,</w:t>
      </w:r>
      <w:r w:rsidRPr="009863F2">
        <w:rPr>
          <w:rFonts w:ascii="Calibri Light" w:eastAsia="Calibri" w:hAnsi="Calibri Light" w:cs="Arial"/>
          <w:sz w:val="24"/>
          <w:szCs w:val="24"/>
          <w:lang w:val="es-ES_tradnl"/>
        </w:rPr>
        <w:t xml:space="preserve"> dado que se estima que el 50% de los trabajadores de América Latina y el Caribe </w:t>
      </w:r>
      <w:r w:rsidR="00400A6A" w:rsidRPr="009863F2">
        <w:rPr>
          <w:rFonts w:ascii="Calibri Light" w:eastAsia="Calibri" w:hAnsi="Calibri Light" w:cs="Arial"/>
          <w:sz w:val="24"/>
          <w:szCs w:val="24"/>
          <w:lang w:val="es-ES_tradnl"/>
        </w:rPr>
        <w:t>se encuentra en el mercado informal</w:t>
      </w:r>
      <w:r w:rsidRPr="009863F2">
        <w:rPr>
          <w:rFonts w:ascii="Calibri Light" w:eastAsia="Calibri" w:hAnsi="Calibri Light" w:cs="Arial"/>
          <w:sz w:val="24"/>
          <w:szCs w:val="24"/>
          <w:lang w:val="es-ES_tradnl"/>
        </w:rPr>
        <w:t xml:space="preserve"> (OIT, 2016).</w:t>
      </w:r>
    </w:p>
    <w:p w14:paraId="445FE9ED" w14:textId="77777777" w:rsidR="00AB6E92" w:rsidRDefault="00AB6E92" w:rsidP="009863F2">
      <w:pPr>
        <w:spacing w:after="0" w:line="240" w:lineRule="auto"/>
        <w:rPr>
          <w:rFonts w:ascii="Calibri Light" w:hAnsi="Calibri Light" w:cs="Arial"/>
          <w:b/>
          <w:i/>
          <w:sz w:val="24"/>
          <w:szCs w:val="24"/>
          <w:lang w:val="es-ES_tradnl"/>
        </w:rPr>
      </w:pPr>
    </w:p>
    <w:p w14:paraId="40B98743" w14:textId="1A3D7FE3"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Intervenciones</w:t>
      </w:r>
    </w:p>
    <w:p w14:paraId="2886F4BA" w14:textId="259FFBB2" w:rsidR="00BC6E70" w:rsidRPr="009863F2" w:rsidRDefault="00BC6E70" w:rsidP="009863F2">
      <w:pPr>
        <w:spacing w:after="0" w:line="240" w:lineRule="auto"/>
        <w:jc w:val="both"/>
        <w:rPr>
          <w:rFonts w:ascii="Calibri Light" w:hAnsi="Calibri Light" w:cs="Arial"/>
          <w:b/>
          <w:sz w:val="24"/>
          <w:szCs w:val="24"/>
          <w:lang w:val="es-ES"/>
        </w:rPr>
      </w:pPr>
      <w:r w:rsidRPr="009863F2">
        <w:rPr>
          <w:rFonts w:ascii="Calibri Light" w:hAnsi="Calibri Light" w:cs="Arial"/>
          <w:sz w:val="24"/>
          <w:szCs w:val="24"/>
          <w:lang w:val="es-ES"/>
        </w:rPr>
        <w:t xml:space="preserve">Dada la complejidad de la problemática que </w:t>
      </w:r>
      <w:r w:rsidR="00400A6A" w:rsidRPr="009863F2">
        <w:rPr>
          <w:rFonts w:ascii="Calibri Light" w:hAnsi="Calibri Light" w:cs="Arial"/>
          <w:sz w:val="24"/>
          <w:szCs w:val="24"/>
          <w:lang w:val="es-ES"/>
        </w:rPr>
        <w:t xml:space="preserve">impide </w:t>
      </w:r>
      <w:r w:rsidRPr="009863F2">
        <w:rPr>
          <w:rFonts w:ascii="Calibri Light" w:hAnsi="Calibri Light" w:cs="Arial"/>
          <w:sz w:val="24"/>
          <w:szCs w:val="24"/>
          <w:lang w:val="es-ES"/>
        </w:rPr>
        <w:t xml:space="preserve">un mayor acceso de las familias </w:t>
      </w:r>
      <w:r w:rsidR="00400A6A" w:rsidRPr="009863F2">
        <w:rPr>
          <w:rFonts w:ascii="Calibri Light" w:hAnsi="Calibri Light" w:cs="Arial"/>
          <w:sz w:val="24"/>
          <w:szCs w:val="24"/>
          <w:lang w:val="es-ES"/>
        </w:rPr>
        <w:t xml:space="preserve">al </w:t>
      </w:r>
      <w:r w:rsidRPr="009863F2">
        <w:rPr>
          <w:rFonts w:ascii="Calibri Light" w:hAnsi="Calibri Light" w:cs="Arial"/>
          <w:sz w:val="24"/>
          <w:szCs w:val="24"/>
          <w:lang w:val="es-ES"/>
        </w:rPr>
        <w:t xml:space="preserve">financiamiento para vivienda en la región, se requiere un enfoque integral que enfrente las distintas causas de las restricciones crediticias. </w:t>
      </w:r>
      <w:r w:rsidR="00400A6A" w:rsidRPr="009863F2">
        <w:rPr>
          <w:rFonts w:ascii="Calibri Light" w:hAnsi="Calibri Light" w:cs="Arial"/>
          <w:sz w:val="24"/>
          <w:szCs w:val="24"/>
          <w:lang w:val="es-ES"/>
        </w:rPr>
        <w:t>Esto</w:t>
      </w:r>
      <w:r w:rsidRPr="009863F2">
        <w:rPr>
          <w:rFonts w:ascii="Calibri Light" w:hAnsi="Calibri Light" w:cs="Arial"/>
          <w:sz w:val="24"/>
          <w:szCs w:val="24"/>
          <w:lang w:val="es-ES"/>
        </w:rPr>
        <w:t xml:space="preserve"> implica </w:t>
      </w:r>
      <w:r w:rsidR="00400A6A" w:rsidRPr="009863F2">
        <w:rPr>
          <w:rFonts w:ascii="Calibri Light" w:hAnsi="Calibri Light" w:cs="Arial"/>
          <w:sz w:val="24"/>
          <w:szCs w:val="24"/>
          <w:lang w:val="es-ES"/>
        </w:rPr>
        <w:t xml:space="preserve">poner en marcha </w:t>
      </w:r>
      <w:r w:rsidRPr="009863F2">
        <w:rPr>
          <w:rFonts w:ascii="Calibri Light" w:hAnsi="Calibri Light" w:cs="Arial"/>
          <w:sz w:val="24"/>
          <w:szCs w:val="24"/>
          <w:lang w:val="es-ES"/>
        </w:rPr>
        <w:t>programas que</w:t>
      </w:r>
      <w:r w:rsidR="00F454B5" w:rsidRPr="009863F2">
        <w:rPr>
          <w:rFonts w:ascii="Calibri Light" w:hAnsi="Calibri Light" w:cs="Arial"/>
          <w:sz w:val="24"/>
          <w:szCs w:val="24"/>
          <w:lang w:val="es-ES"/>
        </w:rPr>
        <w:t xml:space="preserve">, además </w:t>
      </w:r>
      <w:r w:rsidR="00400A6A" w:rsidRPr="009863F2">
        <w:rPr>
          <w:rFonts w:ascii="Calibri Light" w:hAnsi="Calibri Light" w:cs="Arial"/>
          <w:sz w:val="24"/>
          <w:szCs w:val="24"/>
          <w:lang w:val="es-ES"/>
        </w:rPr>
        <w:t>del financiamiento</w:t>
      </w:r>
      <w:r w:rsidRPr="009863F2">
        <w:rPr>
          <w:rFonts w:ascii="Calibri Light" w:hAnsi="Calibri Light" w:cs="Arial"/>
          <w:sz w:val="24"/>
          <w:szCs w:val="24"/>
          <w:lang w:val="es-ES"/>
        </w:rPr>
        <w:t xml:space="preserve">, </w:t>
      </w:r>
      <w:r w:rsidR="00F454B5" w:rsidRPr="009863F2">
        <w:rPr>
          <w:rFonts w:ascii="Calibri Light" w:hAnsi="Calibri Light" w:cs="Arial"/>
          <w:sz w:val="24"/>
          <w:szCs w:val="24"/>
          <w:lang w:val="es-ES"/>
        </w:rPr>
        <w:t xml:space="preserve">y en la medida </w:t>
      </w:r>
      <w:r w:rsidR="00400A6A" w:rsidRPr="009863F2">
        <w:rPr>
          <w:rFonts w:ascii="Calibri Light" w:hAnsi="Calibri Light" w:cs="Arial"/>
          <w:sz w:val="24"/>
          <w:szCs w:val="24"/>
          <w:lang w:val="es-ES"/>
        </w:rPr>
        <w:t>de lo</w:t>
      </w:r>
      <w:r w:rsidR="00F454B5" w:rsidRPr="009863F2">
        <w:rPr>
          <w:rFonts w:ascii="Calibri Light" w:hAnsi="Calibri Light" w:cs="Arial"/>
          <w:sz w:val="24"/>
          <w:szCs w:val="24"/>
          <w:lang w:val="es-ES"/>
        </w:rPr>
        <w:t xml:space="preserve"> necesario</w:t>
      </w:r>
      <w:r w:rsidR="00400A6A" w:rsidRPr="009863F2">
        <w:rPr>
          <w:rFonts w:ascii="Calibri Light" w:hAnsi="Calibri Light" w:cs="Arial"/>
          <w:sz w:val="24"/>
          <w:szCs w:val="24"/>
          <w:lang w:val="es-ES"/>
        </w:rPr>
        <w:t>,</w:t>
      </w:r>
      <w:r w:rsidR="00F454B5" w:rsidRPr="009863F2">
        <w:rPr>
          <w:rFonts w:ascii="Calibri Light" w:hAnsi="Calibri Light" w:cs="Arial"/>
          <w:sz w:val="24"/>
          <w:szCs w:val="24"/>
          <w:lang w:val="es-ES"/>
        </w:rPr>
        <w:t xml:space="preserve"> según las fallas existentes del mercado, </w:t>
      </w:r>
      <w:r w:rsidR="00400A6A" w:rsidRPr="009863F2">
        <w:rPr>
          <w:rFonts w:ascii="Calibri Light" w:hAnsi="Calibri Light" w:cs="Arial"/>
          <w:sz w:val="24"/>
          <w:szCs w:val="24"/>
          <w:lang w:val="es-ES"/>
        </w:rPr>
        <w:t xml:space="preserve">incluyan </w:t>
      </w:r>
      <w:r w:rsidRPr="009863F2">
        <w:rPr>
          <w:rFonts w:ascii="Calibri Light" w:hAnsi="Calibri Light" w:cs="Arial"/>
          <w:sz w:val="24"/>
          <w:szCs w:val="24"/>
          <w:lang w:val="es-ES"/>
        </w:rPr>
        <w:t>subsidios</w:t>
      </w:r>
      <w:r w:rsidR="008B5AA2" w:rsidRPr="009863F2">
        <w:rPr>
          <w:rFonts w:ascii="Calibri Light" w:hAnsi="Calibri Light" w:cs="Arial"/>
          <w:sz w:val="24"/>
          <w:szCs w:val="24"/>
          <w:lang w:val="es-ES"/>
        </w:rPr>
        <w:t xml:space="preserve"> </w:t>
      </w:r>
      <w:r w:rsidR="00AE2C0C" w:rsidRPr="009863F2">
        <w:rPr>
          <w:rFonts w:ascii="Calibri Light" w:hAnsi="Calibri Light" w:cs="Arial"/>
          <w:sz w:val="24"/>
          <w:szCs w:val="24"/>
          <w:lang w:val="es-ES"/>
        </w:rPr>
        <w:t>(al pago inicial y la tasa de interés)</w:t>
      </w:r>
      <w:r w:rsidRPr="009863F2">
        <w:rPr>
          <w:rFonts w:ascii="Calibri Light" w:hAnsi="Calibri Light" w:cs="Arial"/>
          <w:sz w:val="24"/>
          <w:szCs w:val="24"/>
          <w:lang w:val="es-ES"/>
        </w:rPr>
        <w:t>, seguros</w:t>
      </w:r>
      <w:r w:rsidR="00AE2C0C" w:rsidRPr="009863F2">
        <w:rPr>
          <w:rFonts w:ascii="Calibri Light" w:hAnsi="Calibri Light" w:cs="Arial"/>
          <w:sz w:val="24"/>
          <w:szCs w:val="24"/>
          <w:lang w:val="es-ES"/>
        </w:rPr>
        <w:t xml:space="preserve"> (de hipotecas)</w:t>
      </w:r>
      <w:r w:rsidRPr="009863F2">
        <w:rPr>
          <w:rFonts w:ascii="Calibri Light" w:hAnsi="Calibri Light" w:cs="Arial"/>
          <w:sz w:val="24"/>
          <w:szCs w:val="24"/>
          <w:lang w:val="es-ES"/>
        </w:rPr>
        <w:t xml:space="preserve"> y asistencia técnica.</w:t>
      </w:r>
    </w:p>
    <w:p w14:paraId="56C8C029" w14:textId="77777777" w:rsidR="00AB6E92" w:rsidRDefault="00AB6E92" w:rsidP="009863F2">
      <w:pPr>
        <w:spacing w:after="0" w:line="240" w:lineRule="auto"/>
        <w:jc w:val="both"/>
        <w:rPr>
          <w:rFonts w:ascii="Calibri Light" w:hAnsi="Calibri Light" w:cs="Arial"/>
          <w:i/>
          <w:sz w:val="24"/>
          <w:szCs w:val="24"/>
          <w:lang w:val="es-ES"/>
        </w:rPr>
      </w:pPr>
    </w:p>
    <w:p w14:paraId="5C673FD0" w14:textId="03A4727C"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
        </w:rPr>
        <w:t>Subsidios.</w:t>
      </w:r>
      <w:r w:rsidRPr="009863F2">
        <w:rPr>
          <w:rFonts w:ascii="Calibri Light" w:hAnsi="Calibri Light" w:cs="Arial"/>
          <w:sz w:val="24"/>
          <w:szCs w:val="24"/>
          <w:lang w:val="es-ES"/>
        </w:rPr>
        <w:t xml:space="preserve"> </w:t>
      </w:r>
      <w:r w:rsidR="00400A6A" w:rsidRPr="009863F2">
        <w:rPr>
          <w:rFonts w:ascii="Calibri Light" w:hAnsi="Calibri Light" w:cs="Arial"/>
          <w:sz w:val="24"/>
          <w:szCs w:val="24"/>
          <w:lang w:val="es-ES"/>
        </w:rPr>
        <w:t>Los fondos</w:t>
      </w:r>
      <w:r w:rsidRPr="009863F2">
        <w:rPr>
          <w:rFonts w:ascii="Calibri Light" w:hAnsi="Calibri Light" w:cs="Arial"/>
          <w:sz w:val="24"/>
          <w:szCs w:val="24"/>
          <w:lang w:val="es-ES"/>
        </w:rPr>
        <w:t xml:space="preserve"> provisto</w:t>
      </w:r>
      <w:r w:rsidR="00400A6A" w:rsidRPr="009863F2">
        <w:rPr>
          <w:rFonts w:ascii="Calibri Light" w:hAnsi="Calibri Light" w:cs="Arial"/>
          <w:sz w:val="24"/>
          <w:szCs w:val="24"/>
          <w:lang w:val="es-ES"/>
        </w:rPr>
        <w:t>s</w:t>
      </w:r>
      <w:r w:rsidRPr="009863F2">
        <w:rPr>
          <w:rFonts w:ascii="Calibri Light" w:hAnsi="Calibri Light" w:cs="Arial"/>
          <w:sz w:val="24"/>
          <w:szCs w:val="24"/>
          <w:lang w:val="es-ES"/>
        </w:rPr>
        <w:t xml:space="preserve"> por el Estado a las IF puede</w:t>
      </w:r>
      <w:r w:rsidR="00400A6A" w:rsidRPr="009863F2">
        <w:rPr>
          <w:rFonts w:ascii="Calibri Light" w:hAnsi="Calibri Light" w:cs="Arial"/>
          <w:sz w:val="24"/>
          <w:szCs w:val="24"/>
          <w:lang w:val="es-ES"/>
        </w:rPr>
        <w:t>n</w:t>
      </w:r>
      <w:r w:rsidRPr="009863F2">
        <w:rPr>
          <w:rFonts w:ascii="Calibri Light" w:hAnsi="Calibri Light" w:cs="Arial"/>
          <w:sz w:val="24"/>
          <w:szCs w:val="24"/>
          <w:lang w:val="es-ES"/>
        </w:rPr>
        <w:t xml:space="preserve"> exigir techos para las tasas de interés a los usuarios finales, sujetos a distintos perfiles de ingresos familiares. Se espera que estos </w:t>
      </w:r>
      <w:r w:rsidRPr="009863F2">
        <w:rPr>
          <w:rFonts w:ascii="Calibri Light" w:hAnsi="Calibri Light" w:cs="Arial"/>
          <w:i/>
          <w:sz w:val="24"/>
          <w:szCs w:val="24"/>
          <w:lang w:val="es-ES"/>
        </w:rPr>
        <w:t>subsidios sobre la tasa de interés</w:t>
      </w:r>
      <w:r w:rsidRPr="009863F2">
        <w:rPr>
          <w:rFonts w:ascii="Calibri Light" w:hAnsi="Calibri Light" w:cs="Arial"/>
          <w:sz w:val="24"/>
          <w:szCs w:val="24"/>
          <w:lang w:val="es-ES"/>
        </w:rPr>
        <w:t xml:space="preserve"> mitiguen el riesgo que asumen las IF y disminuyan la futura carga financiera sobre los usuarios finales, aumentando así tanto la oferta como la demanda de crédito.</w:t>
      </w:r>
      <w:r w:rsidR="00025BEF" w:rsidRPr="009863F2">
        <w:rPr>
          <w:rFonts w:ascii="Calibri Light" w:hAnsi="Calibri Light" w:cs="Arial"/>
          <w:sz w:val="24"/>
          <w:szCs w:val="24"/>
          <w:lang w:val="es-ES"/>
        </w:rPr>
        <w:t xml:space="preserve"> </w:t>
      </w:r>
    </w:p>
    <w:p w14:paraId="0007E9E8" w14:textId="1894DFFE" w:rsidR="00E00B6B"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También existen los </w:t>
      </w:r>
      <w:r w:rsidRPr="009863F2">
        <w:rPr>
          <w:rFonts w:ascii="Calibri Light" w:hAnsi="Calibri Light" w:cs="Arial"/>
          <w:i/>
          <w:sz w:val="24"/>
          <w:szCs w:val="24"/>
          <w:lang w:val="es-ES"/>
        </w:rPr>
        <w:t>subsidios a la cuota inicial</w:t>
      </w:r>
      <w:r w:rsidR="005B71A6" w:rsidRPr="009863F2">
        <w:rPr>
          <w:rFonts w:ascii="Calibri Light" w:hAnsi="Calibri Light" w:cs="Arial"/>
          <w:i/>
          <w:sz w:val="24"/>
          <w:szCs w:val="24"/>
          <w:lang w:val="es-ES"/>
        </w:rPr>
        <w:t xml:space="preserve">, </w:t>
      </w:r>
      <w:r w:rsidR="005B71A6" w:rsidRPr="009863F2">
        <w:rPr>
          <w:rFonts w:ascii="Calibri Light" w:hAnsi="Calibri Light" w:cs="Arial"/>
          <w:sz w:val="24"/>
          <w:szCs w:val="24"/>
          <w:lang w:val="es-ES"/>
        </w:rPr>
        <w:t>cuya</w:t>
      </w:r>
      <w:r w:rsidRPr="009863F2">
        <w:rPr>
          <w:rFonts w:ascii="Calibri Light" w:hAnsi="Calibri Light" w:cs="Arial"/>
          <w:sz w:val="24"/>
          <w:szCs w:val="24"/>
          <w:lang w:val="es-ES"/>
        </w:rPr>
        <w:t xml:space="preserve"> principal finalidad </w:t>
      </w:r>
      <w:r w:rsidR="005B71A6" w:rsidRPr="009863F2">
        <w:rPr>
          <w:rFonts w:ascii="Calibri Light" w:hAnsi="Calibri Light" w:cs="Arial"/>
          <w:sz w:val="24"/>
          <w:szCs w:val="24"/>
          <w:lang w:val="es-ES"/>
        </w:rPr>
        <w:t xml:space="preserve">es </w:t>
      </w:r>
      <w:r w:rsidRPr="009863F2">
        <w:rPr>
          <w:rFonts w:ascii="Calibri Light" w:hAnsi="Calibri Light" w:cs="Arial"/>
          <w:sz w:val="24"/>
          <w:szCs w:val="24"/>
          <w:lang w:val="es-ES"/>
        </w:rPr>
        <w:t xml:space="preserve">complementar el ahorro de los usuarios finales para afrontar el pago inicial de la vivienda, ya que el préstamo normalmente no cubre la totalidad del valor. En la región, para acceder a un crédito hipotecario </w:t>
      </w:r>
      <w:r w:rsidR="005B71A6" w:rsidRPr="009863F2">
        <w:rPr>
          <w:rFonts w:ascii="Calibri Light" w:hAnsi="Calibri Light" w:cs="Arial"/>
          <w:sz w:val="24"/>
          <w:szCs w:val="24"/>
          <w:lang w:val="es-ES"/>
        </w:rPr>
        <w:t>se suele pedir</w:t>
      </w:r>
      <w:r w:rsidRPr="009863F2">
        <w:rPr>
          <w:rFonts w:ascii="Calibri Light" w:hAnsi="Calibri Light" w:cs="Arial"/>
          <w:sz w:val="24"/>
          <w:szCs w:val="24"/>
          <w:lang w:val="es-ES"/>
        </w:rPr>
        <w:t xml:space="preserve"> de</w:t>
      </w:r>
      <w:r w:rsidR="005B71A6" w:rsidRPr="009863F2">
        <w:rPr>
          <w:rFonts w:ascii="Calibri Light" w:hAnsi="Calibri Light" w:cs="Arial"/>
          <w:sz w:val="24"/>
          <w:szCs w:val="24"/>
          <w:lang w:val="es-ES"/>
        </w:rPr>
        <w:t xml:space="preserve"> un</w:t>
      </w:r>
      <w:r w:rsidRPr="009863F2">
        <w:rPr>
          <w:rFonts w:ascii="Calibri Light" w:hAnsi="Calibri Light" w:cs="Arial"/>
          <w:sz w:val="24"/>
          <w:szCs w:val="24"/>
          <w:lang w:val="es-ES"/>
        </w:rPr>
        <w:t xml:space="preserve"> 20</w:t>
      </w:r>
      <w:r w:rsidR="005B71A6" w:rsidRPr="009863F2">
        <w:rPr>
          <w:rFonts w:ascii="Calibri Light" w:hAnsi="Calibri Light" w:cs="Arial"/>
          <w:sz w:val="24"/>
          <w:szCs w:val="24"/>
          <w:lang w:val="es-ES"/>
        </w:rPr>
        <w:t>%</w:t>
      </w:r>
      <w:r w:rsidRPr="009863F2">
        <w:rPr>
          <w:rFonts w:ascii="Calibri Light" w:hAnsi="Calibri Light" w:cs="Arial"/>
          <w:sz w:val="24"/>
          <w:szCs w:val="24"/>
          <w:lang w:val="es-ES"/>
        </w:rPr>
        <w:t xml:space="preserve"> a </w:t>
      </w:r>
      <w:r w:rsidR="005B71A6" w:rsidRPr="009863F2">
        <w:rPr>
          <w:rFonts w:ascii="Calibri Light" w:hAnsi="Calibri Light" w:cs="Arial"/>
          <w:sz w:val="24"/>
          <w:szCs w:val="24"/>
          <w:lang w:val="es-ES"/>
        </w:rPr>
        <w:t xml:space="preserve">un </w:t>
      </w:r>
      <w:r w:rsidRPr="009863F2">
        <w:rPr>
          <w:rFonts w:ascii="Calibri Light" w:hAnsi="Calibri Light" w:cs="Arial"/>
          <w:sz w:val="24"/>
          <w:szCs w:val="24"/>
          <w:lang w:val="es-ES"/>
        </w:rPr>
        <w:t xml:space="preserve">30% del valor de la vivienda como aporte inicial. Por ende, estos subsidios resultan </w:t>
      </w:r>
      <w:r w:rsidRPr="009863F2">
        <w:rPr>
          <w:rFonts w:ascii="Calibri Light" w:hAnsi="Calibri Light" w:cs="Arial"/>
          <w:sz w:val="24"/>
          <w:szCs w:val="24"/>
          <w:lang w:val="es-ES"/>
        </w:rPr>
        <w:lastRenderedPageBreak/>
        <w:t xml:space="preserve">de utilidad ante ingresos insuficientes o </w:t>
      </w:r>
      <w:r w:rsidR="005B71A6" w:rsidRPr="009863F2">
        <w:rPr>
          <w:rFonts w:ascii="Calibri Light" w:hAnsi="Calibri Light" w:cs="Arial"/>
          <w:sz w:val="24"/>
          <w:szCs w:val="24"/>
          <w:lang w:val="es-ES"/>
        </w:rPr>
        <w:t>debido a la</w:t>
      </w:r>
      <w:r w:rsidRPr="009863F2">
        <w:rPr>
          <w:rFonts w:ascii="Calibri Light" w:hAnsi="Calibri Light" w:cs="Arial"/>
          <w:sz w:val="24"/>
          <w:szCs w:val="24"/>
          <w:lang w:val="es-ES"/>
        </w:rPr>
        <w:t xml:space="preserve"> alta valuación de los inmuebles. En la medida en que estos subsidios no estén atados a un desarrollo inmobiliario específico, la habilidad para elegir libremente la vivienda también aumenta el grado de competencia en la fijación de precios de mercado, </w:t>
      </w:r>
      <w:r w:rsidR="005B71A6" w:rsidRPr="009863F2">
        <w:rPr>
          <w:rFonts w:ascii="Calibri Light" w:hAnsi="Calibri Light" w:cs="Arial"/>
          <w:sz w:val="24"/>
          <w:szCs w:val="24"/>
          <w:lang w:val="es-ES"/>
        </w:rPr>
        <w:t xml:space="preserve">lo cual hace </w:t>
      </w:r>
      <w:r w:rsidR="00EF0942" w:rsidRPr="009863F2">
        <w:rPr>
          <w:rFonts w:ascii="Calibri Light" w:hAnsi="Calibri Light" w:cs="Arial"/>
          <w:sz w:val="24"/>
          <w:szCs w:val="24"/>
          <w:lang w:val="es-ES"/>
        </w:rPr>
        <w:t xml:space="preserve">más </w:t>
      </w:r>
      <w:r w:rsidR="00025BEF" w:rsidRPr="009863F2">
        <w:rPr>
          <w:rFonts w:ascii="Calibri Light" w:hAnsi="Calibri Light" w:cs="Arial"/>
          <w:sz w:val="24"/>
          <w:szCs w:val="24"/>
          <w:lang w:val="es-ES"/>
        </w:rPr>
        <w:t>eficient</w:t>
      </w:r>
      <w:r w:rsidR="00EF0942" w:rsidRPr="009863F2">
        <w:rPr>
          <w:rFonts w:ascii="Calibri Light" w:hAnsi="Calibri Light" w:cs="Arial"/>
          <w:sz w:val="24"/>
          <w:szCs w:val="24"/>
          <w:lang w:val="es-ES"/>
        </w:rPr>
        <w:t>e</w:t>
      </w:r>
      <w:r w:rsidR="00025BEF" w:rsidRPr="009863F2">
        <w:rPr>
          <w:rFonts w:ascii="Calibri Light" w:hAnsi="Calibri Light" w:cs="Arial"/>
          <w:sz w:val="24"/>
          <w:szCs w:val="24"/>
          <w:lang w:val="es-ES"/>
        </w:rPr>
        <w:t xml:space="preserve"> </w:t>
      </w:r>
      <w:r w:rsidRPr="009863F2">
        <w:rPr>
          <w:rFonts w:ascii="Calibri Light" w:hAnsi="Calibri Light" w:cs="Arial"/>
          <w:sz w:val="24"/>
          <w:szCs w:val="24"/>
          <w:lang w:val="es-ES"/>
        </w:rPr>
        <w:t>la traslación del subsidio a los oferentes de propiedades (actuales propietarios y constructores).</w:t>
      </w:r>
    </w:p>
    <w:p w14:paraId="2CFC2072" w14:textId="77777777" w:rsidR="00AB6E92" w:rsidRDefault="00AB6E92" w:rsidP="009863F2">
      <w:pPr>
        <w:spacing w:after="0" w:line="240" w:lineRule="auto"/>
        <w:jc w:val="both"/>
        <w:rPr>
          <w:rFonts w:ascii="Calibri Light" w:hAnsi="Calibri Light" w:cs="Arial"/>
          <w:sz w:val="24"/>
          <w:szCs w:val="24"/>
          <w:lang w:val="es-ES"/>
        </w:rPr>
      </w:pPr>
    </w:p>
    <w:p w14:paraId="4AA50681" w14:textId="434E46BA" w:rsidR="00377879" w:rsidRPr="009863F2" w:rsidRDefault="00DD2D67"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S</w:t>
      </w:r>
      <w:r w:rsidR="00377879" w:rsidRPr="009863F2">
        <w:rPr>
          <w:rFonts w:ascii="Calibri Light" w:hAnsi="Calibri Light" w:cs="Arial"/>
          <w:sz w:val="24"/>
          <w:szCs w:val="24"/>
          <w:lang w:val="es-ES"/>
        </w:rPr>
        <w:t>e considera que los subsidios al pago inicial constitu</w:t>
      </w:r>
      <w:r w:rsidRPr="009863F2">
        <w:rPr>
          <w:rFonts w:ascii="Calibri Light" w:hAnsi="Calibri Light" w:cs="Arial"/>
          <w:sz w:val="24"/>
          <w:szCs w:val="24"/>
          <w:lang w:val="es-ES"/>
        </w:rPr>
        <w:t>yen</w:t>
      </w:r>
      <w:r w:rsidR="00377879" w:rsidRPr="009863F2">
        <w:rPr>
          <w:rFonts w:ascii="Calibri Light" w:hAnsi="Calibri Light" w:cs="Arial"/>
          <w:sz w:val="24"/>
          <w:szCs w:val="24"/>
          <w:lang w:val="es-ES"/>
        </w:rPr>
        <w:t xml:space="preserve"> la opción más adecuada</w:t>
      </w:r>
      <w:r w:rsidRPr="009863F2">
        <w:rPr>
          <w:rFonts w:ascii="Calibri Light" w:hAnsi="Calibri Light" w:cs="Arial"/>
          <w:sz w:val="24"/>
          <w:szCs w:val="24"/>
          <w:lang w:val="es-ES"/>
        </w:rPr>
        <w:t xml:space="preserve"> dentro de la política de subsidios</w:t>
      </w:r>
      <w:r w:rsidR="00377879" w:rsidRPr="009863F2">
        <w:rPr>
          <w:rFonts w:ascii="Calibri Light" w:hAnsi="Calibri Light" w:cs="Arial"/>
          <w:sz w:val="24"/>
          <w:szCs w:val="24"/>
          <w:lang w:val="es-ES"/>
        </w:rPr>
        <w:t xml:space="preserve">, </w:t>
      </w:r>
      <w:r w:rsidRPr="009863F2">
        <w:rPr>
          <w:rFonts w:ascii="Calibri Light" w:hAnsi="Calibri Light" w:cs="Arial"/>
          <w:sz w:val="24"/>
          <w:szCs w:val="24"/>
          <w:lang w:val="es-ES"/>
        </w:rPr>
        <w:t xml:space="preserve">dado que permiten asegurar los </w:t>
      </w:r>
      <w:r w:rsidR="00377879" w:rsidRPr="009863F2">
        <w:rPr>
          <w:rFonts w:ascii="Calibri Light" w:hAnsi="Calibri Light" w:cs="Arial"/>
          <w:sz w:val="24"/>
          <w:szCs w:val="24"/>
          <w:lang w:val="es-ES"/>
        </w:rPr>
        <w:t>criterios</w:t>
      </w:r>
      <w:r w:rsidRPr="009863F2">
        <w:rPr>
          <w:rFonts w:ascii="Calibri Light" w:hAnsi="Calibri Light" w:cs="Arial"/>
          <w:sz w:val="24"/>
          <w:szCs w:val="24"/>
          <w:lang w:val="es-ES"/>
        </w:rPr>
        <w:t xml:space="preserve"> de</w:t>
      </w:r>
      <w:r w:rsidR="00377879" w:rsidRPr="009863F2">
        <w:rPr>
          <w:rFonts w:ascii="Calibri Light" w:hAnsi="Calibri Light" w:cs="Arial"/>
          <w:sz w:val="24"/>
          <w:szCs w:val="24"/>
          <w:lang w:val="es-ES"/>
        </w:rPr>
        <w:t xml:space="preserve"> </w:t>
      </w:r>
      <w:r w:rsidRPr="009863F2">
        <w:rPr>
          <w:rFonts w:ascii="Calibri Light" w:hAnsi="Calibri Light" w:cs="Arial"/>
          <w:sz w:val="24"/>
          <w:szCs w:val="24"/>
          <w:lang w:val="es-ES"/>
        </w:rPr>
        <w:t xml:space="preserve">(i) cobertura, (ii) focalización, (iii) neutralidad y (iv) transparencia </w:t>
      </w:r>
      <w:r w:rsidR="00377879" w:rsidRPr="009863F2">
        <w:rPr>
          <w:rFonts w:ascii="Calibri Light" w:hAnsi="Calibri Light" w:cs="Arial"/>
          <w:sz w:val="24"/>
          <w:szCs w:val="24"/>
          <w:lang w:val="es-ES"/>
        </w:rPr>
        <w:t>(Beb</w:t>
      </w:r>
      <w:r w:rsidR="005B71A6" w:rsidRPr="009863F2">
        <w:rPr>
          <w:rFonts w:ascii="Calibri Light" w:hAnsi="Calibri Light" w:cs="Arial"/>
          <w:sz w:val="24"/>
          <w:szCs w:val="24"/>
          <w:lang w:val="es-ES"/>
        </w:rPr>
        <w:t>c</w:t>
      </w:r>
      <w:r w:rsidR="00377879" w:rsidRPr="009863F2">
        <w:rPr>
          <w:rFonts w:ascii="Calibri Light" w:hAnsi="Calibri Light" w:cs="Arial"/>
          <w:sz w:val="24"/>
          <w:szCs w:val="24"/>
          <w:lang w:val="es-ES"/>
        </w:rPr>
        <w:t>zuk y Demaestri, 2013).</w:t>
      </w:r>
      <w:r w:rsidRPr="009863F2">
        <w:rPr>
          <w:rFonts w:ascii="Calibri Light" w:hAnsi="Calibri Light" w:cs="Arial"/>
          <w:sz w:val="24"/>
          <w:szCs w:val="24"/>
          <w:lang w:val="es-ES"/>
        </w:rPr>
        <w:t xml:space="preserve"> </w:t>
      </w:r>
      <w:r w:rsidR="00022144" w:rsidRPr="009863F2">
        <w:rPr>
          <w:rFonts w:ascii="Calibri Light" w:hAnsi="Calibri Light" w:cs="Arial"/>
          <w:sz w:val="24"/>
          <w:szCs w:val="24"/>
          <w:lang w:val="es-ES"/>
        </w:rPr>
        <w:t xml:space="preserve">Mediante </w:t>
      </w:r>
      <w:r w:rsidR="00377879" w:rsidRPr="009863F2">
        <w:rPr>
          <w:rFonts w:ascii="Calibri Light" w:hAnsi="Calibri Light" w:cs="Arial"/>
          <w:sz w:val="24"/>
          <w:szCs w:val="24"/>
          <w:lang w:val="es-ES"/>
        </w:rPr>
        <w:t xml:space="preserve">requisitos de elegibilidad </w:t>
      </w:r>
      <w:r w:rsidR="00022144" w:rsidRPr="009863F2">
        <w:rPr>
          <w:rFonts w:ascii="Calibri Light" w:hAnsi="Calibri Light" w:cs="Arial"/>
          <w:sz w:val="24"/>
          <w:szCs w:val="24"/>
          <w:lang w:val="es-ES"/>
        </w:rPr>
        <w:t xml:space="preserve">se asegura </w:t>
      </w:r>
      <w:r w:rsidR="00377879" w:rsidRPr="009863F2">
        <w:rPr>
          <w:rFonts w:ascii="Calibri Light" w:hAnsi="Calibri Light" w:cs="Arial"/>
          <w:sz w:val="24"/>
          <w:szCs w:val="24"/>
          <w:lang w:val="es-ES"/>
        </w:rPr>
        <w:t xml:space="preserve">la focalización en la población de interés y la neutralidad para evitar distorsiones en el comportamiento de los actores. Al mismo tiempo, </w:t>
      </w:r>
      <w:r w:rsidR="00022144" w:rsidRPr="009863F2">
        <w:rPr>
          <w:rFonts w:ascii="Calibri Light" w:hAnsi="Calibri Light" w:cs="Arial"/>
          <w:sz w:val="24"/>
          <w:szCs w:val="24"/>
          <w:lang w:val="es-ES"/>
        </w:rPr>
        <w:t xml:space="preserve">estos subsidios </w:t>
      </w:r>
      <w:r w:rsidR="005B71A6" w:rsidRPr="009863F2">
        <w:rPr>
          <w:rFonts w:ascii="Calibri Light" w:hAnsi="Calibri Light" w:cs="Arial"/>
          <w:sz w:val="24"/>
          <w:szCs w:val="24"/>
          <w:lang w:val="es-ES"/>
        </w:rPr>
        <w:t xml:space="preserve">garantizan </w:t>
      </w:r>
      <w:r w:rsidR="00377879" w:rsidRPr="009863F2">
        <w:rPr>
          <w:rFonts w:ascii="Calibri Light" w:hAnsi="Calibri Light" w:cs="Arial"/>
          <w:sz w:val="24"/>
          <w:szCs w:val="24"/>
          <w:lang w:val="es-ES"/>
        </w:rPr>
        <w:t xml:space="preserve">la transparencia en la administración en cuanto a los costos y su evaluación de impacto correspondiente para determinar el éxito o no de las medidas adoptadas. </w:t>
      </w:r>
    </w:p>
    <w:p w14:paraId="05FC3864" w14:textId="77777777" w:rsidR="00AB6E92" w:rsidRDefault="00AB6E92" w:rsidP="009863F2">
      <w:pPr>
        <w:spacing w:after="0" w:line="240" w:lineRule="auto"/>
        <w:jc w:val="both"/>
        <w:rPr>
          <w:rFonts w:ascii="Calibri Light" w:hAnsi="Calibri Light" w:cs="Arial"/>
          <w:i/>
          <w:sz w:val="24"/>
          <w:szCs w:val="24"/>
          <w:lang w:val="es-ES"/>
        </w:rPr>
      </w:pPr>
    </w:p>
    <w:p w14:paraId="37F7568F" w14:textId="52E067D5"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
        </w:rPr>
        <w:t>Seguros.</w:t>
      </w:r>
      <w:r w:rsidRPr="009863F2">
        <w:rPr>
          <w:rFonts w:ascii="Calibri Light" w:hAnsi="Calibri Light" w:cs="Arial"/>
          <w:sz w:val="24"/>
          <w:szCs w:val="24"/>
          <w:lang w:val="es-ES"/>
        </w:rPr>
        <w:t xml:space="preserve"> Alrededor del 50% de los trabajadores de la región son informales (OIT, 2016) y, si bien muchos de ellos cuentan con ingresos estables y constantes, no tienen forma de demostrar sus ingresos a las IF. Ante esta situación, los seguros estatales para préstamos hipotecarios buscan mejorar las perspectivas de recupero de las IF en el evento de un default y, de esta manera, estimular una menor tasa de interés y una mayor oferta de crédito para </w:t>
      </w:r>
      <w:r w:rsidR="007570A9"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 xml:space="preserve">vivienda. </w:t>
      </w:r>
      <w:r w:rsidR="007570A9" w:rsidRPr="009863F2">
        <w:rPr>
          <w:rFonts w:ascii="Calibri Light" w:hAnsi="Calibri Light" w:cs="Arial"/>
          <w:sz w:val="24"/>
          <w:szCs w:val="24"/>
          <w:lang w:val="es-ES"/>
        </w:rPr>
        <w:t>E</w:t>
      </w:r>
      <w:r w:rsidRPr="009863F2">
        <w:rPr>
          <w:rFonts w:ascii="Calibri Light" w:hAnsi="Calibri Light" w:cs="Arial"/>
          <w:sz w:val="24"/>
          <w:szCs w:val="24"/>
          <w:lang w:val="es-ES"/>
        </w:rPr>
        <w:t xml:space="preserve">n caso de no contarse con </w:t>
      </w:r>
      <w:r w:rsidR="007570A9"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 xml:space="preserve">capacidad o </w:t>
      </w:r>
      <w:r w:rsidR="007570A9"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voluntad,</w:t>
      </w:r>
      <w:r w:rsidR="007570A9" w:rsidRPr="009863F2">
        <w:rPr>
          <w:rFonts w:ascii="Calibri Light" w:hAnsi="Calibri Light" w:cs="Arial"/>
          <w:sz w:val="24"/>
          <w:szCs w:val="24"/>
          <w:lang w:val="es-ES"/>
        </w:rPr>
        <w:t xml:space="preserve"> una alternativa para los seguros estatales</w:t>
      </w:r>
      <w:r w:rsidRPr="009863F2">
        <w:rPr>
          <w:rFonts w:ascii="Calibri Light" w:hAnsi="Calibri Light" w:cs="Arial"/>
          <w:sz w:val="24"/>
          <w:szCs w:val="24"/>
          <w:lang w:val="es-ES"/>
        </w:rPr>
        <w:t xml:space="preserve"> </w:t>
      </w:r>
      <w:r w:rsidR="007570A9" w:rsidRPr="009863F2">
        <w:rPr>
          <w:rFonts w:ascii="Calibri Light" w:hAnsi="Calibri Light" w:cs="Arial"/>
          <w:sz w:val="24"/>
          <w:szCs w:val="24"/>
          <w:lang w:val="es-ES"/>
        </w:rPr>
        <w:t>la constituyen</w:t>
      </w:r>
      <w:r w:rsidRPr="009863F2">
        <w:rPr>
          <w:rFonts w:ascii="Calibri Light" w:hAnsi="Calibri Light" w:cs="Arial"/>
          <w:sz w:val="24"/>
          <w:szCs w:val="24"/>
          <w:lang w:val="es-ES"/>
        </w:rPr>
        <w:t xml:space="preserve"> subsidios para la adquisición de seguros privados. </w:t>
      </w:r>
    </w:p>
    <w:p w14:paraId="78E0D0AE" w14:textId="77777777" w:rsidR="00AB6E92" w:rsidRDefault="00AB6E92" w:rsidP="009863F2">
      <w:pPr>
        <w:spacing w:after="0" w:line="240" w:lineRule="auto"/>
        <w:jc w:val="both"/>
        <w:rPr>
          <w:rFonts w:ascii="Calibri Light" w:hAnsi="Calibri Light" w:cs="Arial"/>
          <w:sz w:val="24"/>
          <w:szCs w:val="24"/>
          <w:lang w:val="es-ES"/>
        </w:rPr>
      </w:pPr>
    </w:p>
    <w:p w14:paraId="26C08F4E" w14:textId="05C8869C"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En cuanto a su estructura, la prima de cobertura </w:t>
      </w:r>
      <w:r w:rsidR="007570A9" w:rsidRPr="009863F2">
        <w:rPr>
          <w:rFonts w:ascii="Calibri Light" w:hAnsi="Calibri Light" w:cs="Arial"/>
          <w:sz w:val="24"/>
          <w:szCs w:val="24"/>
          <w:lang w:val="es-ES"/>
        </w:rPr>
        <w:t xml:space="preserve">suele ser </w:t>
      </w:r>
      <w:r w:rsidRPr="009863F2">
        <w:rPr>
          <w:rFonts w:ascii="Calibri Light" w:hAnsi="Calibri Light" w:cs="Arial"/>
          <w:sz w:val="24"/>
          <w:szCs w:val="24"/>
          <w:lang w:val="es-ES"/>
        </w:rPr>
        <w:t>mayor en los primeros meses y luego va disminuyendo según los umbrales de riesgo determinado</w:t>
      </w:r>
      <w:r w:rsidR="007570A9" w:rsidRPr="009863F2">
        <w:rPr>
          <w:rFonts w:ascii="Calibri Light" w:hAnsi="Calibri Light" w:cs="Arial"/>
          <w:sz w:val="24"/>
          <w:szCs w:val="24"/>
          <w:lang w:val="es-ES"/>
        </w:rPr>
        <w:t>s</w:t>
      </w:r>
      <w:r w:rsidRPr="009863F2">
        <w:rPr>
          <w:rFonts w:ascii="Calibri Light" w:hAnsi="Calibri Light" w:cs="Arial"/>
          <w:sz w:val="24"/>
          <w:szCs w:val="24"/>
          <w:lang w:val="es-ES"/>
        </w:rPr>
        <w:t xml:space="preserve"> por el seguro. Asimismo, durante la vida de la hipoteca, puede exigirse al beneficiario </w:t>
      </w:r>
      <w:r w:rsidR="007570A9" w:rsidRPr="009863F2">
        <w:rPr>
          <w:rFonts w:ascii="Calibri Light" w:hAnsi="Calibri Light" w:cs="Arial"/>
          <w:sz w:val="24"/>
          <w:szCs w:val="24"/>
          <w:lang w:val="es-ES"/>
        </w:rPr>
        <w:t xml:space="preserve">que pague </w:t>
      </w:r>
      <w:r w:rsidRPr="009863F2">
        <w:rPr>
          <w:rFonts w:ascii="Calibri Light" w:hAnsi="Calibri Light" w:cs="Arial"/>
          <w:sz w:val="24"/>
          <w:szCs w:val="24"/>
          <w:lang w:val="es-ES"/>
        </w:rPr>
        <w:t>un seguro de desempleo (o de falta de generación de ingresos fijos) que le permita hacer frente a eventuales</w:t>
      </w:r>
      <w:r w:rsidR="007570A9" w:rsidRPr="009863F2">
        <w:rPr>
          <w:rFonts w:ascii="Calibri Light" w:hAnsi="Calibri Light" w:cs="Arial"/>
          <w:sz w:val="24"/>
          <w:szCs w:val="24"/>
          <w:lang w:val="es-ES"/>
        </w:rPr>
        <w:t xml:space="preserve"> situaciones</w:t>
      </w:r>
      <w:r w:rsidRPr="009863F2">
        <w:rPr>
          <w:rFonts w:ascii="Calibri Light" w:hAnsi="Calibri Light" w:cs="Arial"/>
          <w:sz w:val="24"/>
          <w:szCs w:val="24"/>
          <w:lang w:val="es-ES"/>
        </w:rPr>
        <w:t xml:space="preserve"> de incumplimiento. </w:t>
      </w:r>
      <w:r w:rsidR="007570A9" w:rsidRPr="009863F2">
        <w:rPr>
          <w:rFonts w:ascii="Calibri Light" w:hAnsi="Calibri Light" w:cs="Arial"/>
          <w:sz w:val="24"/>
          <w:szCs w:val="24"/>
          <w:lang w:val="es-ES"/>
        </w:rPr>
        <w:t>Este s</w:t>
      </w:r>
      <w:r w:rsidRPr="009863F2">
        <w:rPr>
          <w:rFonts w:ascii="Calibri Light" w:hAnsi="Calibri Light" w:cs="Arial"/>
          <w:sz w:val="24"/>
          <w:szCs w:val="24"/>
          <w:lang w:val="es-ES"/>
        </w:rPr>
        <w:t xml:space="preserve">e puede estructurar de manera que </w:t>
      </w:r>
      <w:r w:rsidR="008138A4" w:rsidRPr="009863F2">
        <w:rPr>
          <w:rFonts w:ascii="Calibri Light" w:hAnsi="Calibri Light" w:cs="Arial"/>
          <w:sz w:val="24"/>
          <w:szCs w:val="24"/>
          <w:lang w:val="es-ES"/>
        </w:rPr>
        <w:t>absorben</w:t>
      </w:r>
      <w:r w:rsidRPr="009863F2">
        <w:rPr>
          <w:rFonts w:ascii="Calibri Light" w:hAnsi="Calibri Light" w:cs="Arial"/>
          <w:sz w:val="24"/>
          <w:szCs w:val="24"/>
          <w:lang w:val="es-ES"/>
        </w:rPr>
        <w:t xml:space="preserve"> un número limitado de cuotas, hasta que el beneficiario pueda volver a su situación previa evitando la ejecución de la hipoteca por parte de la institución financiera.</w:t>
      </w:r>
    </w:p>
    <w:p w14:paraId="53909141" w14:textId="77777777" w:rsidR="00AB6E92" w:rsidRDefault="00AB6E92" w:rsidP="009863F2">
      <w:pPr>
        <w:spacing w:after="0" w:line="240" w:lineRule="auto"/>
        <w:jc w:val="both"/>
        <w:rPr>
          <w:rFonts w:ascii="Calibri Light" w:hAnsi="Calibri Light" w:cs="Arial"/>
          <w:i/>
          <w:sz w:val="24"/>
          <w:szCs w:val="24"/>
          <w:lang w:val="es-ES"/>
        </w:rPr>
      </w:pPr>
    </w:p>
    <w:p w14:paraId="444677A1" w14:textId="4F5D9100"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
        </w:rPr>
        <w:t>Asistencia técnica.</w:t>
      </w:r>
      <w:r w:rsidRPr="009863F2">
        <w:rPr>
          <w:rFonts w:ascii="Calibri Light" w:hAnsi="Calibri Light" w:cs="Arial"/>
          <w:sz w:val="24"/>
          <w:szCs w:val="24"/>
          <w:lang w:val="es-ES"/>
        </w:rPr>
        <w:t xml:space="preserve"> En el caso de </w:t>
      </w:r>
      <w:r w:rsidR="007570A9" w:rsidRPr="009863F2">
        <w:rPr>
          <w:rFonts w:ascii="Calibri Light" w:hAnsi="Calibri Light" w:cs="Arial"/>
          <w:sz w:val="24"/>
          <w:szCs w:val="24"/>
          <w:lang w:val="es-ES"/>
        </w:rPr>
        <w:t xml:space="preserve">los </w:t>
      </w:r>
      <w:r w:rsidRPr="009863F2">
        <w:rPr>
          <w:rFonts w:ascii="Calibri Light" w:hAnsi="Calibri Light" w:cs="Arial"/>
          <w:sz w:val="24"/>
          <w:szCs w:val="24"/>
          <w:lang w:val="es-ES"/>
        </w:rPr>
        <w:t>mercados incipientes o poco desarrollados, resulta necesario apoyar a las IF en el desarrollo y pilotaje de nuevos productos crediticios. Entre los productos por desarrollar y pilotear, se puede</w:t>
      </w:r>
      <w:r w:rsidR="007B58DD" w:rsidRPr="009863F2">
        <w:rPr>
          <w:rFonts w:ascii="Calibri Light" w:hAnsi="Calibri Light" w:cs="Arial"/>
          <w:sz w:val="24"/>
          <w:szCs w:val="24"/>
          <w:lang w:val="es-ES"/>
        </w:rPr>
        <w:t>n</w:t>
      </w:r>
      <w:r w:rsidRPr="009863F2">
        <w:rPr>
          <w:rFonts w:ascii="Calibri Light" w:hAnsi="Calibri Light" w:cs="Arial"/>
          <w:sz w:val="24"/>
          <w:szCs w:val="24"/>
          <w:lang w:val="es-ES"/>
        </w:rPr>
        <w:t xml:space="preserve"> incluir, por ejemplo</w:t>
      </w:r>
      <w:r w:rsidR="007B58DD" w:rsidRPr="009863F2">
        <w:rPr>
          <w:rFonts w:ascii="Calibri Light" w:hAnsi="Calibri Light" w:cs="Arial"/>
          <w:sz w:val="24"/>
          <w:szCs w:val="24"/>
          <w:lang w:val="es-ES"/>
        </w:rPr>
        <w:t>, el</w:t>
      </w:r>
      <w:r w:rsidRPr="009863F2">
        <w:rPr>
          <w:rFonts w:ascii="Calibri Light" w:hAnsi="Calibri Light" w:cs="Arial"/>
          <w:sz w:val="24"/>
          <w:szCs w:val="24"/>
          <w:lang w:val="es-ES"/>
        </w:rPr>
        <w:t xml:space="preserve"> ahorro previo y </w:t>
      </w:r>
      <w:r w:rsidR="007B58DD"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alquiler con opción de compra. Los </w:t>
      </w:r>
      <w:r w:rsidRPr="009863F2">
        <w:rPr>
          <w:rFonts w:ascii="Calibri Light" w:hAnsi="Calibri Light" w:cs="Arial"/>
          <w:sz w:val="24"/>
          <w:szCs w:val="24"/>
          <w:lang w:val="es-AR"/>
        </w:rPr>
        <w:t xml:space="preserve">sistemas de ahorro previo pretenden motorizar la capacidad de ahorro de las familias en busca de vivienda, reduciendo así la incidencia del préstamo y los riesgos consecuentes. Asimismo, estos sistemas pueden permitir </w:t>
      </w:r>
      <w:r w:rsidR="007B58DD" w:rsidRPr="009863F2">
        <w:rPr>
          <w:rFonts w:ascii="Calibri Light" w:hAnsi="Calibri Light" w:cs="Arial"/>
          <w:sz w:val="24"/>
          <w:szCs w:val="24"/>
          <w:lang w:val="es-AR"/>
        </w:rPr>
        <w:t>que los</w:t>
      </w:r>
      <w:r w:rsidRPr="009863F2">
        <w:rPr>
          <w:rFonts w:ascii="Calibri Light" w:hAnsi="Calibri Light" w:cs="Arial"/>
          <w:sz w:val="24"/>
          <w:szCs w:val="24"/>
          <w:lang w:val="es-AR"/>
        </w:rPr>
        <w:t xml:space="preserve"> trabajadores informales y/o sin historia crediticia constru</w:t>
      </w:r>
      <w:r w:rsidR="007B58DD" w:rsidRPr="009863F2">
        <w:rPr>
          <w:rFonts w:ascii="Calibri Light" w:hAnsi="Calibri Light" w:cs="Arial"/>
          <w:sz w:val="24"/>
          <w:szCs w:val="24"/>
          <w:lang w:val="es-AR"/>
        </w:rPr>
        <w:t>yan</w:t>
      </w:r>
      <w:r w:rsidRPr="009863F2">
        <w:rPr>
          <w:rFonts w:ascii="Calibri Light" w:hAnsi="Calibri Light" w:cs="Arial"/>
          <w:sz w:val="24"/>
          <w:szCs w:val="24"/>
          <w:lang w:val="es-AR"/>
        </w:rPr>
        <w:t xml:space="preserve"> una relación con las IF.</w:t>
      </w:r>
    </w:p>
    <w:p w14:paraId="25A87F6F" w14:textId="77777777" w:rsidR="00AB6E92" w:rsidRDefault="00AB6E92" w:rsidP="009863F2">
      <w:pPr>
        <w:spacing w:after="0" w:line="240" w:lineRule="auto"/>
        <w:jc w:val="both"/>
        <w:rPr>
          <w:rFonts w:ascii="Calibri Light" w:hAnsi="Calibri Light" w:cs="Arial"/>
          <w:sz w:val="24"/>
          <w:szCs w:val="24"/>
          <w:lang w:val="es-ES"/>
        </w:rPr>
      </w:pPr>
    </w:p>
    <w:p w14:paraId="5E684297" w14:textId="0672B17F" w:rsidR="00BC6E70" w:rsidRDefault="00BC6E70" w:rsidP="009863F2">
      <w:pPr>
        <w:spacing w:after="0" w:line="240" w:lineRule="auto"/>
        <w:jc w:val="both"/>
        <w:rPr>
          <w:rFonts w:ascii="Calibri Light" w:hAnsi="Calibri Light" w:cs="Arial"/>
          <w:sz w:val="24"/>
          <w:szCs w:val="24"/>
          <w:lang w:val="es-AR"/>
        </w:rPr>
      </w:pPr>
      <w:r w:rsidRPr="009863F2">
        <w:rPr>
          <w:rFonts w:ascii="Calibri Light" w:hAnsi="Calibri Light" w:cs="Arial"/>
          <w:sz w:val="24"/>
          <w:szCs w:val="24"/>
          <w:lang w:val="es-ES"/>
        </w:rPr>
        <w:t xml:space="preserve">Por su parte, </w:t>
      </w:r>
      <w:r w:rsidRPr="009863F2">
        <w:rPr>
          <w:rFonts w:ascii="Calibri Light" w:hAnsi="Calibri Light" w:cs="Arial"/>
          <w:sz w:val="24"/>
          <w:szCs w:val="24"/>
          <w:lang w:val="es-AR"/>
        </w:rPr>
        <w:t xml:space="preserve">un sistema de alquiler con opción de compra o </w:t>
      </w:r>
      <w:r w:rsidRPr="009863F2">
        <w:rPr>
          <w:rFonts w:ascii="Calibri Light" w:hAnsi="Calibri Light" w:cs="Arial"/>
          <w:i/>
          <w:sz w:val="24"/>
          <w:szCs w:val="24"/>
          <w:lang w:val="es-AR"/>
        </w:rPr>
        <w:t>leasing</w:t>
      </w:r>
      <w:r w:rsidRPr="009863F2">
        <w:rPr>
          <w:rFonts w:ascii="Calibri Light" w:hAnsi="Calibri Light" w:cs="Arial"/>
          <w:sz w:val="24"/>
          <w:szCs w:val="24"/>
          <w:lang w:val="es-AR"/>
        </w:rPr>
        <w:t xml:space="preserve"> habitacional funciona como un “puente” hacia el acceso al crédito, permitiendo que los clientes puedan comprobar su capacidad y voluntad de pago, así como la acumulación de un ahorro que servirá de </w:t>
      </w:r>
      <w:r w:rsidR="007B58DD" w:rsidRPr="009863F2">
        <w:rPr>
          <w:rFonts w:ascii="Calibri Light" w:hAnsi="Calibri Light" w:cs="Arial"/>
          <w:sz w:val="24"/>
          <w:szCs w:val="24"/>
          <w:lang w:val="es-AR"/>
        </w:rPr>
        <w:t xml:space="preserve">enlace </w:t>
      </w:r>
      <w:r w:rsidRPr="009863F2">
        <w:rPr>
          <w:rFonts w:ascii="Calibri Light" w:hAnsi="Calibri Light" w:cs="Arial"/>
          <w:sz w:val="24"/>
          <w:szCs w:val="24"/>
          <w:lang w:val="es-AR"/>
        </w:rPr>
        <w:t xml:space="preserve">para transformar el contrato de </w:t>
      </w:r>
      <w:r w:rsidRPr="009863F2">
        <w:rPr>
          <w:rFonts w:ascii="Calibri Light" w:hAnsi="Calibri Light" w:cs="Arial"/>
          <w:i/>
          <w:sz w:val="24"/>
          <w:szCs w:val="24"/>
          <w:lang w:val="es-AR"/>
        </w:rPr>
        <w:t>leasing</w:t>
      </w:r>
      <w:r w:rsidRPr="009863F2">
        <w:rPr>
          <w:rFonts w:ascii="Calibri Light" w:hAnsi="Calibri Light" w:cs="Arial"/>
          <w:sz w:val="24"/>
          <w:szCs w:val="24"/>
          <w:lang w:val="es-AR"/>
        </w:rPr>
        <w:t xml:space="preserve"> (propiedad del prestamista) en un contrato de crédito hipotecario (propiedad del prestatario). Ello podría contribuir a reducir la eventual brecha existente entre</w:t>
      </w:r>
      <w:r w:rsidR="007B58DD" w:rsidRPr="009863F2">
        <w:rPr>
          <w:rFonts w:ascii="Calibri Light" w:hAnsi="Calibri Light" w:cs="Arial"/>
          <w:sz w:val="24"/>
          <w:szCs w:val="24"/>
          <w:lang w:val="es-AR"/>
        </w:rPr>
        <w:t xml:space="preserve"> el</w:t>
      </w:r>
      <w:r w:rsidRPr="009863F2">
        <w:rPr>
          <w:rFonts w:ascii="Calibri Light" w:hAnsi="Calibri Light" w:cs="Arial"/>
          <w:sz w:val="24"/>
          <w:szCs w:val="24"/>
          <w:lang w:val="es-AR"/>
        </w:rPr>
        <w:t xml:space="preserve"> riesgo percibido y </w:t>
      </w:r>
      <w:r w:rsidR="007B58DD" w:rsidRPr="009863F2">
        <w:rPr>
          <w:rFonts w:ascii="Calibri Light" w:hAnsi="Calibri Light" w:cs="Arial"/>
          <w:sz w:val="24"/>
          <w:szCs w:val="24"/>
          <w:lang w:val="es-AR"/>
        </w:rPr>
        <w:t xml:space="preserve">el </w:t>
      </w:r>
      <w:r w:rsidRPr="009863F2">
        <w:rPr>
          <w:rFonts w:ascii="Calibri Light" w:hAnsi="Calibri Light" w:cs="Arial"/>
          <w:sz w:val="24"/>
          <w:szCs w:val="24"/>
          <w:lang w:val="es-AR"/>
        </w:rPr>
        <w:t xml:space="preserve">riesgo real, ya que, al mantener la titularidad de la </w:t>
      </w:r>
      <w:r w:rsidRPr="009863F2">
        <w:rPr>
          <w:rFonts w:ascii="Calibri Light" w:hAnsi="Calibri Light" w:cs="Arial"/>
          <w:sz w:val="24"/>
          <w:szCs w:val="24"/>
          <w:lang w:val="es-AR"/>
        </w:rPr>
        <w:lastRenderedPageBreak/>
        <w:t xml:space="preserve">propiedad en manos del acreedor hasta el repago pleno al vencimiento del contrato, </w:t>
      </w:r>
      <w:r w:rsidR="007B58DD" w:rsidRPr="009863F2">
        <w:rPr>
          <w:rFonts w:ascii="Calibri Light" w:hAnsi="Calibri Light" w:cs="Arial"/>
          <w:sz w:val="24"/>
          <w:szCs w:val="24"/>
          <w:lang w:val="es-AR"/>
        </w:rPr>
        <w:t xml:space="preserve">se </w:t>
      </w:r>
      <w:r w:rsidRPr="009863F2">
        <w:rPr>
          <w:rFonts w:ascii="Calibri Light" w:hAnsi="Calibri Light" w:cs="Arial"/>
          <w:sz w:val="24"/>
          <w:szCs w:val="24"/>
          <w:lang w:val="es-AR"/>
        </w:rPr>
        <w:t>alivia</w:t>
      </w:r>
      <w:r w:rsidR="007B58DD" w:rsidRPr="009863F2">
        <w:rPr>
          <w:rFonts w:ascii="Calibri Light" w:hAnsi="Calibri Light" w:cs="Arial"/>
          <w:sz w:val="24"/>
          <w:szCs w:val="24"/>
          <w:lang w:val="es-AR"/>
        </w:rPr>
        <w:t>n</w:t>
      </w:r>
      <w:r w:rsidRPr="009863F2">
        <w:rPr>
          <w:rFonts w:ascii="Calibri Light" w:hAnsi="Calibri Light" w:cs="Arial"/>
          <w:sz w:val="24"/>
          <w:szCs w:val="24"/>
          <w:lang w:val="es-AR"/>
        </w:rPr>
        <w:t xml:space="preserve"> los problemas asociados a la ejecución de hipotecas y, por ende,</w:t>
      </w:r>
      <w:r w:rsidR="007B58DD" w:rsidRPr="009863F2">
        <w:rPr>
          <w:rFonts w:ascii="Calibri Light" w:hAnsi="Calibri Light" w:cs="Arial"/>
          <w:sz w:val="24"/>
          <w:szCs w:val="24"/>
          <w:lang w:val="es-AR"/>
        </w:rPr>
        <w:t xml:space="preserve"> se</w:t>
      </w:r>
      <w:r w:rsidRPr="009863F2">
        <w:rPr>
          <w:rFonts w:ascii="Calibri Light" w:hAnsi="Calibri Light" w:cs="Arial"/>
          <w:sz w:val="24"/>
          <w:szCs w:val="24"/>
          <w:lang w:val="es-AR"/>
        </w:rPr>
        <w:t xml:space="preserve"> reduce el riesgo que enfrentan los acreedores.</w:t>
      </w:r>
    </w:p>
    <w:p w14:paraId="79100FA7" w14:textId="77777777" w:rsidR="00AB6E92" w:rsidRPr="009863F2" w:rsidRDefault="00AB6E92" w:rsidP="009863F2">
      <w:pPr>
        <w:spacing w:after="0" w:line="240" w:lineRule="auto"/>
        <w:jc w:val="both"/>
        <w:rPr>
          <w:rFonts w:ascii="Calibri Light" w:hAnsi="Calibri Light" w:cs="Arial"/>
          <w:sz w:val="24"/>
          <w:szCs w:val="24"/>
          <w:lang w:val="es-AR"/>
        </w:rPr>
      </w:pPr>
    </w:p>
    <w:p w14:paraId="69F2B806" w14:textId="77777777" w:rsidR="007B58DD" w:rsidRPr="009863F2" w:rsidRDefault="00BB00AA" w:rsidP="009863F2">
      <w:pPr>
        <w:pBdr>
          <w:top w:val="single" w:sz="4" w:space="1" w:color="auto"/>
          <w:left w:val="single" w:sz="4" w:space="4" w:color="auto"/>
          <w:bottom w:val="single" w:sz="4" w:space="1" w:color="auto"/>
          <w:right w:val="single" w:sz="4" w:space="4" w:color="auto"/>
        </w:pBdr>
        <w:spacing w:after="0" w:line="240" w:lineRule="auto"/>
        <w:ind w:left="90"/>
        <w:jc w:val="center"/>
        <w:rPr>
          <w:rFonts w:ascii="Calibri Light" w:hAnsi="Calibri Light" w:cs="Arial"/>
          <w:b/>
          <w:sz w:val="24"/>
          <w:szCs w:val="24"/>
          <w:lang w:val="es-ES"/>
        </w:rPr>
      </w:pPr>
      <w:r w:rsidRPr="009863F2">
        <w:rPr>
          <w:rFonts w:ascii="Calibri Light" w:hAnsi="Calibri Light" w:cs="Arial"/>
          <w:b/>
          <w:sz w:val="24"/>
          <w:szCs w:val="24"/>
          <w:lang w:val="es-ES"/>
        </w:rPr>
        <w:t>Recuadro 1</w:t>
      </w:r>
    </w:p>
    <w:p w14:paraId="60CF724C" w14:textId="3A2C9DDC" w:rsidR="00CF43E1" w:rsidRPr="009863F2" w:rsidRDefault="007B58DD" w:rsidP="009863F2">
      <w:pPr>
        <w:pBdr>
          <w:top w:val="single" w:sz="4" w:space="1" w:color="auto"/>
          <w:left w:val="single" w:sz="4" w:space="4" w:color="auto"/>
          <w:bottom w:val="single" w:sz="4" w:space="1" w:color="auto"/>
          <w:right w:val="single" w:sz="4" w:space="4" w:color="auto"/>
        </w:pBdr>
        <w:spacing w:after="0" w:line="240" w:lineRule="auto"/>
        <w:ind w:left="90"/>
        <w:jc w:val="center"/>
        <w:rPr>
          <w:rFonts w:ascii="Calibri Light" w:hAnsi="Calibri Light" w:cs="Arial"/>
          <w:sz w:val="24"/>
          <w:szCs w:val="24"/>
          <w:lang w:val="es-ES"/>
        </w:rPr>
      </w:pPr>
      <w:r w:rsidRPr="009863F2">
        <w:rPr>
          <w:rFonts w:ascii="Calibri Light" w:hAnsi="Calibri Light" w:cs="Arial"/>
          <w:b/>
          <w:sz w:val="24"/>
          <w:szCs w:val="24"/>
          <w:lang w:val="es-ES"/>
        </w:rPr>
        <w:t xml:space="preserve">El </w:t>
      </w:r>
      <w:r w:rsidRPr="009863F2">
        <w:rPr>
          <w:rFonts w:ascii="Calibri Light" w:hAnsi="Calibri Light" w:cs="Arial"/>
          <w:b/>
          <w:i/>
          <w:sz w:val="24"/>
          <w:szCs w:val="24"/>
          <w:lang w:val="es-ES"/>
        </w:rPr>
        <w:t>l</w:t>
      </w:r>
      <w:r w:rsidR="00BC6E70" w:rsidRPr="009863F2">
        <w:rPr>
          <w:rFonts w:ascii="Calibri Light" w:hAnsi="Calibri Light" w:cs="Arial"/>
          <w:b/>
          <w:i/>
          <w:sz w:val="24"/>
          <w:szCs w:val="24"/>
          <w:lang w:val="es-ES"/>
        </w:rPr>
        <w:t>easing</w:t>
      </w:r>
      <w:r w:rsidR="00BC6E70" w:rsidRPr="009863F2">
        <w:rPr>
          <w:rFonts w:ascii="Calibri Light" w:hAnsi="Calibri Light" w:cs="Arial"/>
          <w:b/>
          <w:sz w:val="24"/>
          <w:szCs w:val="24"/>
          <w:lang w:val="es-ES"/>
        </w:rPr>
        <w:t xml:space="preserve"> habitacional Comfama</w:t>
      </w:r>
    </w:p>
    <w:p w14:paraId="0FABC399" w14:textId="77777777" w:rsidR="00720634" w:rsidRDefault="00720634"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
        </w:rPr>
      </w:pPr>
    </w:p>
    <w:p w14:paraId="1160A67A" w14:textId="32234F73" w:rsidR="00BC6E70" w:rsidRDefault="00BC6E70"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
        </w:rPr>
      </w:pPr>
      <w:r w:rsidRPr="009863F2">
        <w:rPr>
          <w:rFonts w:ascii="Calibri Light" w:hAnsi="Calibri Light" w:cs="Arial"/>
          <w:sz w:val="24"/>
          <w:szCs w:val="24"/>
          <w:lang w:val="es-ES"/>
        </w:rPr>
        <w:t xml:space="preserve">Comfama es un fondo sin fines de lucro </w:t>
      </w:r>
      <w:r w:rsidR="002C3D08" w:rsidRPr="009863F2">
        <w:rPr>
          <w:rFonts w:ascii="Calibri Light" w:hAnsi="Calibri Light" w:cs="Arial"/>
          <w:sz w:val="24"/>
          <w:szCs w:val="24"/>
          <w:lang w:val="es-ES"/>
        </w:rPr>
        <w:t xml:space="preserve">para </w:t>
      </w:r>
      <w:r w:rsidRPr="009863F2">
        <w:rPr>
          <w:rFonts w:ascii="Calibri Light" w:hAnsi="Calibri Light" w:cs="Arial"/>
          <w:sz w:val="24"/>
          <w:szCs w:val="24"/>
          <w:lang w:val="es-ES"/>
        </w:rPr>
        <w:t>beneficio del empleado</w:t>
      </w:r>
      <w:r w:rsidR="002C3D08" w:rsidRPr="009863F2">
        <w:rPr>
          <w:rFonts w:ascii="Calibri Light" w:hAnsi="Calibri Light" w:cs="Arial"/>
          <w:sz w:val="24"/>
          <w:szCs w:val="24"/>
          <w:lang w:val="es-ES"/>
        </w:rPr>
        <w:t xml:space="preserve"> d</w:t>
      </w:r>
      <w:r w:rsidRPr="009863F2">
        <w:rPr>
          <w:rFonts w:ascii="Calibri Light" w:hAnsi="Calibri Light" w:cs="Arial"/>
          <w:sz w:val="24"/>
          <w:szCs w:val="24"/>
          <w:lang w:val="es-ES"/>
        </w:rPr>
        <w:t>el Departamento de Antioquia, Colombia, que busca proporcionar una gama de beneficios sociales a sus miembros a través de una variedad de productos y servicios que aprovechan el capital del fondo y su red de instituciones asociadas. Entre sus miembros</w:t>
      </w:r>
      <w:r w:rsidR="002C3D08" w:rsidRPr="009863F2">
        <w:rPr>
          <w:rFonts w:ascii="Calibri Light" w:hAnsi="Calibri Light" w:cs="Arial"/>
          <w:sz w:val="24"/>
          <w:szCs w:val="24"/>
          <w:lang w:val="es-ES"/>
        </w:rPr>
        <w:t xml:space="preserve"> hay</w:t>
      </w:r>
      <w:r w:rsidRPr="009863F2">
        <w:rPr>
          <w:rFonts w:ascii="Calibri Light" w:hAnsi="Calibri Light" w:cs="Arial"/>
          <w:sz w:val="24"/>
          <w:szCs w:val="24"/>
          <w:lang w:val="es-ES"/>
        </w:rPr>
        <w:t xml:space="preserve"> familias que no han podido tener acceso al subsidio de vivienda del gobierno, no pueden cumplir con los requisitos de pago inicial necesarios para comprar una vivienda y no tienen historial crediticio formal que les permita calificar para un préstamo hipotecario.</w:t>
      </w:r>
    </w:p>
    <w:p w14:paraId="7B3C1F9D" w14:textId="77777777" w:rsidR="00720634" w:rsidRPr="009863F2" w:rsidRDefault="00720634"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
        </w:rPr>
      </w:pPr>
    </w:p>
    <w:p w14:paraId="43DF5A21" w14:textId="0836E6AD" w:rsidR="00BC6E70" w:rsidRDefault="00BC6E70"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
        </w:rPr>
      </w:pPr>
      <w:r w:rsidRPr="009863F2">
        <w:rPr>
          <w:rFonts w:ascii="Calibri Light" w:hAnsi="Calibri Light" w:cs="Arial"/>
          <w:sz w:val="24"/>
          <w:szCs w:val="24"/>
          <w:lang w:val="es-ES"/>
        </w:rPr>
        <w:t>Entre otros</w:t>
      </w:r>
      <w:r w:rsidR="002C3D08" w:rsidRPr="009863F2">
        <w:rPr>
          <w:rFonts w:ascii="Calibri Light" w:hAnsi="Calibri Light" w:cs="Arial"/>
          <w:sz w:val="24"/>
          <w:szCs w:val="24"/>
          <w:lang w:val="es-ES"/>
        </w:rPr>
        <w:t xml:space="preserve"> servicios</w:t>
      </w:r>
      <w:r w:rsidRPr="009863F2">
        <w:rPr>
          <w:rFonts w:ascii="Calibri Light" w:hAnsi="Calibri Light" w:cs="Arial"/>
          <w:sz w:val="24"/>
          <w:szCs w:val="24"/>
          <w:lang w:val="es-ES"/>
        </w:rPr>
        <w:t xml:space="preserve">, Comfama ofrece a sus miembros un programa de </w:t>
      </w:r>
      <w:r w:rsidRPr="009863F2">
        <w:rPr>
          <w:rFonts w:ascii="Calibri Light" w:hAnsi="Calibri Light" w:cs="Arial"/>
          <w:i/>
          <w:sz w:val="24"/>
          <w:szCs w:val="24"/>
          <w:lang w:val="es-ES"/>
        </w:rPr>
        <w:t>leasing</w:t>
      </w:r>
      <w:r w:rsidRPr="009863F2">
        <w:rPr>
          <w:rFonts w:ascii="Calibri Light" w:hAnsi="Calibri Light" w:cs="Arial"/>
          <w:sz w:val="24"/>
          <w:szCs w:val="24"/>
          <w:lang w:val="es-ES"/>
        </w:rPr>
        <w:t xml:space="preserve"> habitacional </w:t>
      </w:r>
      <w:r w:rsidR="002C3D08" w:rsidRPr="009863F2">
        <w:rPr>
          <w:rFonts w:ascii="Calibri Light" w:hAnsi="Calibri Light" w:cs="Arial"/>
          <w:sz w:val="24"/>
          <w:szCs w:val="24"/>
          <w:lang w:val="es-ES"/>
        </w:rPr>
        <w:t xml:space="preserve">de acuerdo con </w:t>
      </w:r>
      <w:r w:rsidRPr="009863F2">
        <w:rPr>
          <w:rFonts w:ascii="Calibri Light" w:hAnsi="Calibri Light" w:cs="Arial"/>
          <w:sz w:val="24"/>
          <w:szCs w:val="24"/>
          <w:lang w:val="es-ES"/>
        </w:rPr>
        <w:t xml:space="preserve">el cual las familias firman un contrato de alquiler por tres años, </w:t>
      </w:r>
      <w:r w:rsidR="002C3D08" w:rsidRPr="009863F2">
        <w:rPr>
          <w:rFonts w:ascii="Calibri Light" w:hAnsi="Calibri Light" w:cs="Arial"/>
          <w:sz w:val="24"/>
          <w:szCs w:val="24"/>
          <w:lang w:val="es-ES"/>
        </w:rPr>
        <w:t>y</w:t>
      </w:r>
      <w:r w:rsidRPr="009863F2">
        <w:rPr>
          <w:rFonts w:ascii="Calibri Light" w:hAnsi="Calibri Light" w:cs="Arial"/>
          <w:sz w:val="24"/>
          <w:szCs w:val="24"/>
          <w:lang w:val="es-ES"/>
        </w:rPr>
        <w:t xml:space="preserve"> una porción de su mensualidad se aplica</w:t>
      </w:r>
      <w:r w:rsidR="002C3D08" w:rsidRPr="009863F2">
        <w:rPr>
          <w:rFonts w:ascii="Calibri Light" w:hAnsi="Calibri Light" w:cs="Arial"/>
          <w:sz w:val="24"/>
          <w:szCs w:val="24"/>
          <w:lang w:val="es-ES"/>
        </w:rPr>
        <w:t xml:space="preserve"> par</w:t>
      </w:r>
      <w:r w:rsidRPr="009863F2">
        <w:rPr>
          <w:rFonts w:ascii="Calibri Light" w:hAnsi="Calibri Light" w:cs="Arial"/>
          <w:sz w:val="24"/>
          <w:szCs w:val="24"/>
          <w:lang w:val="es-ES"/>
        </w:rPr>
        <w:t xml:space="preserve">a su pago inicial futuro. </w:t>
      </w:r>
      <w:r w:rsidR="002C3D08" w:rsidRPr="009863F2">
        <w:rPr>
          <w:rFonts w:ascii="Calibri Light" w:hAnsi="Calibri Light" w:cs="Arial"/>
          <w:sz w:val="24"/>
          <w:szCs w:val="24"/>
          <w:lang w:val="es-ES"/>
        </w:rPr>
        <w:t>M</w:t>
      </w:r>
      <w:r w:rsidRPr="009863F2">
        <w:rPr>
          <w:rFonts w:ascii="Calibri Light" w:hAnsi="Calibri Light" w:cs="Arial"/>
          <w:sz w:val="24"/>
          <w:szCs w:val="24"/>
          <w:lang w:val="es-ES"/>
        </w:rPr>
        <w:t xml:space="preserve">ediante su red de empleadores asociados, </w:t>
      </w:r>
      <w:r w:rsidR="002C3D08" w:rsidRPr="009863F2">
        <w:rPr>
          <w:rFonts w:ascii="Calibri Light" w:hAnsi="Calibri Light" w:cs="Arial"/>
          <w:sz w:val="24"/>
          <w:szCs w:val="24"/>
          <w:lang w:val="es-ES"/>
        </w:rPr>
        <w:t xml:space="preserve">Comfama </w:t>
      </w:r>
      <w:r w:rsidRPr="009863F2">
        <w:rPr>
          <w:rFonts w:ascii="Calibri Light" w:hAnsi="Calibri Light" w:cs="Arial"/>
          <w:sz w:val="24"/>
          <w:szCs w:val="24"/>
          <w:lang w:val="es-ES"/>
        </w:rPr>
        <w:t>tiene acceso directo al historial de salarios de</w:t>
      </w:r>
      <w:r w:rsidR="002C3D08" w:rsidRPr="009863F2">
        <w:rPr>
          <w:rFonts w:ascii="Calibri Light" w:hAnsi="Calibri Light" w:cs="Arial"/>
          <w:sz w:val="24"/>
          <w:szCs w:val="24"/>
          <w:lang w:val="es-ES"/>
        </w:rPr>
        <w:t xml:space="preserve"> </w:t>
      </w:r>
      <w:r w:rsidRPr="009863F2">
        <w:rPr>
          <w:rFonts w:ascii="Calibri Light" w:hAnsi="Calibri Light" w:cs="Arial"/>
          <w:sz w:val="24"/>
          <w:szCs w:val="24"/>
          <w:lang w:val="es-ES"/>
        </w:rPr>
        <w:t>l</w:t>
      </w:r>
      <w:r w:rsidR="002C3D08" w:rsidRPr="009863F2">
        <w:rPr>
          <w:rFonts w:ascii="Calibri Light" w:hAnsi="Calibri Light" w:cs="Arial"/>
          <w:sz w:val="24"/>
          <w:szCs w:val="24"/>
          <w:lang w:val="es-ES"/>
        </w:rPr>
        <w:t>os</w:t>
      </w:r>
      <w:r w:rsidRPr="009863F2">
        <w:rPr>
          <w:rFonts w:ascii="Calibri Light" w:hAnsi="Calibri Light" w:cs="Arial"/>
          <w:sz w:val="24"/>
          <w:szCs w:val="24"/>
          <w:lang w:val="es-ES"/>
        </w:rPr>
        <w:t xml:space="preserve"> empleado</w:t>
      </w:r>
      <w:r w:rsidR="002C3D08" w:rsidRPr="009863F2">
        <w:rPr>
          <w:rFonts w:ascii="Calibri Light" w:hAnsi="Calibri Light" w:cs="Arial"/>
          <w:sz w:val="24"/>
          <w:szCs w:val="24"/>
          <w:lang w:val="es-ES"/>
        </w:rPr>
        <w:t>s</w:t>
      </w:r>
      <w:r w:rsidRPr="009863F2">
        <w:rPr>
          <w:rFonts w:ascii="Calibri Light" w:hAnsi="Calibri Light" w:cs="Arial"/>
          <w:sz w:val="24"/>
          <w:szCs w:val="24"/>
          <w:lang w:val="es-ES"/>
        </w:rPr>
        <w:t>, y puede recolectar pagos de préstamos mediante deducciones salariales directas. El programa se apoya en cuatro pasos:</w:t>
      </w:r>
    </w:p>
    <w:p w14:paraId="3D3C252F" w14:textId="77777777" w:rsidR="00720634" w:rsidRPr="009863F2" w:rsidRDefault="00720634"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
        </w:rPr>
      </w:pPr>
    </w:p>
    <w:p w14:paraId="6A918C96" w14:textId="61C7837F" w:rsidR="00BC6E70" w:rsidRPr="009863F2" w:rsidRDefault="00BC6E70" w:rsidP="009863F2">
      <w:pPr>
        <w:pStyle w:val="ListParagraph"/>
        <w:numPr>
          <w:ilvl w:val="0"/>
          <w:numId w:val="18"/>
        </w:numPr>
        <w:pBdr>
          <w:top w:val="single" w:sz="4" w:space="1" w:color="auto"/>
          <w:left w:val="single" w:sz="4" w:space="4" w:color="auto"/>
          <w:bottom w:val="single" w:sz="4" w:space="1" w:color="auto"/>
          <w:right w:val="single" w:sz="4" w:space="4" w:color="auto"/>
        </w:pBdr>
        <w:tabs>
          <w:tab w:val="left" w:pos="360"/>
        </w:tabs>
        <w:spacing w:after="0" w:line="240" w:lineRule="auto"/>
        <w:ind w:left="90" w:firstLine="0"/>
        <w:contextualSpacing w:val="0"/>
        <w:jc w:val="both"/>
        <w:rPr>
          <w:rFonts w:ascii="Calibri Light" w:hAnsi="Calibri Light" w:cs="Arial"/>
          <w:sz w:val="24"/>
          <w:szCs w:val="24"/>
          <w:lang w:val="es-ES"/>
        </w:rPr>
      </w:pPr>
      <w:r w:rsidRPr="009863F2">
        <w:rPr>
          <w:rFonts w:ascii="Calibri Light" w:hAnsi="Calibri Light" w:cs="Arial"/>
          <w:i/>
          <w:sz w:val="24"/>
          <w:szCs w:val="24"/>
          <w:lang w:val="es-ES"/>
        </w:rPr>
        <w:t>Comfama compra casas nuevas a urbanizadores de viviendas de bajo costo.</w:t>
      </w:r>
      <w:r w:rsidRPr="009863F2">
        <w:rPr>
          <w:rFonts w:ascii="Calibri Light" w:hAnsi="Calibri Light" w:cs="Arial"/>
          <w:sz w:val="24"/>
          <w:szCs w:val="24"/>
          <w:lang w:val="es-ES"/>
        </w:rPr>
        <w:t xml:space="preserve"> El costo de estas viviendas nuevas no excederá los US$23.000. </w:t>
      </w:r>
      <w:r w:rsidR="002C3D08" w:rsidRPr="009863F2">
        <w:rPr>
          <w:rFonts w:ascii="Calibri Light" w:hAnsi="Calibri Light" w:cs="Arial"/>
          <w:sz w:val="24"/>
          <w:szCs w:val="24"/>
          <w:lang w:val="es-ES"/>
        </w:rPr>
        <w:t>Las</w:t>
      </w:r>
      <w:r w:rsidRPr="009863F2">
        <w:rPr>
          <w:rFonts w:ascii="Calibri Light" w:hAnsi="Calibri Light" w:cs="Arial"/>
          <w:sz w:val="24"/>
          <w:szCs w:val="24"/>
          <w:lang w:val="es-ES"/>
        </w:rPr>
        <w:t xml:space="preserve"> propiedades </w:t>
      </w:r>
      <w:r w:rsidR="002C3D08" w:rsidRPr="009863F2">
        <w:rPr>
          <w:rFonts w:ascii="Calibri Light" w:hAnsi="Calibri Light" w:cs="Arial"/>
          <w:sz w:val="24"/>
          <w:szCs w:val="24"/>
          <w:lang w:val="es-ES"/>
        </w:rPr>
        <w:t xml:space="preserve">se resguardan </w:t>
      </w:r>
      <w:r w:rsidRPr="009863F2">
        <w:rPr>
          <w:rFonts w:ascii="Calibri Light" w:hAnsi="Calibri Light" w:cs="Arial"/>
          <w:sz w:val="24"/>
          <w:szCs w:val="24"/>
          <w:lang w:val="es-ES"/>
        </w:rPr>
        <w:t>en un fideicomiso independiente, y se contrata administradores de propiedades.</w:t>
      </w:r>
    </w:p>
    <w:p w14:paraId="6CCB4635" w14:textId="657019FD" w:rsidR="00BC6E70" w:rsidRPr="009863F2" w:rsidRDefault="00BC6E70" w:rsidP="009863F2">
      <w:pPr>
        <w:pStyle w:val="ListParagraph"/>
        <w:numPr>
          <w:ilvl w:val="0"/>
          <w:numId w:val="18"/>
        </w:numPr>
        <w:pBdr>
          <w:top w:val="single" w:sz="4" w:space="1" w:color="auto"/>
          <w:left w:val="single" w:sz="4" w:space="4" w:color="auto"/>
          <w:bottom w:val="single" w:sz="4" w:space="1" w:color="auto"/>
          <w:right w:val="single" w:sz="4" w:space="4" w:color="auto"/>
        </w:pBdr>
        <w:tabs>
          <w:tab w:val="left" w:pos="360"/>
        </w:tabs>
        <w:spacing w:after="0" w:line="240" w:lineRule="auto"/>
        <w:ind w:left="90" w:firstLine="0"/>
        <w:contextualSpacing w:val="0"/>
        <w:jc w:val="both"/>
        <w:rPr>
          <w:rFonts w:ascii="Calibri Light" w:hAnsi="Calibri Light" w:cs="Arial"/>
          <w:sz w:val="24"/>
          <w:szCs w:val="24"/>
          <w:lang w:val="es-ES"/>
        </w:rPr>
      </w:pPr>
      <w:r w:rsidRPr="009863F2">
        <w:rPr>
          <w:rFonts w:ascii="Calibri Light" w:hAnsi="Calibri Light" w:cs="Arial"/>
          <w:i/>
          <w:sz w:val="24"/>
          <w:szCs w:val="24"/>
          <w:lang w:val="es-ES"/>
        </w:rPr>
        <w:t>Calificación de familias para celebrar contratos de alquiler con opción a compra.</w:t>
      </w:r>
      <w:r w:rsidRPr="009863F2">
        <w:rPr>
          <w:rFonts w:ascii="Calibri Light" w:hAnsi="Calibri Light" w:cs="Arial"/>
          <w:sz w:val="24"/>
          <w:szCs w:val="24"/>
          <w:lang w:val="es-ES"/>
        </w:rPr>
        <w:t xml:space="preserve"> Comfama realiza evaluaciones de préstamo de clientes interesados para asegurar que cumpl</w:t>
      </w:r>
      <w:r w:rsidR="002C3D08" w:rsidRPr="009863F2">
        <w:rPr>
          <w:rFonts w:ascii="Calibri Light" w:hAnsi="Calibri Light" w:cs="Arial"/>
          <w:sz w:val="24"/>
          <w:szCs w:val="24"/>
          <w:lang w:val="es-ES"/>
        </w:rPr>
        <w:t>a</w:t>
      </w:r>
      <w:r w:rsidRPr="009863F2">
        <w:rPr>
          <w:rFonts w:ascii="Calibri Light" w:hAnsi="Calibri Light" w:cs="Arial"/>
          <w:sz w:val="24"/>
          <w:szCs w:val="24"/>
          <w:lang w:val="es-ES"/>
        </w:rPr>
        <w:t>n con requerimientos mínimos</w:t>
      </w:r>
      <w:r w:rsidR="002C3D08" w:rsidRPr="009863F2">
        <w:rPr>
          <w:rFonts w:ascii="Calibri Light" w:hAnsi="Calibri Light" w:cs="Arial"/>
          <w:sz w:val="24"/>
          <w:szCs w:val="24"/>
          <w:lang w:val="es-ES"/>
        </w:rPr>
        <w:t>,</w:t>
      </w:r>
      <w:r w:rsidRPr="009863F2">
        <w:rPr>
          <w:rFonts w:ascii="Calibri Light" w:hAnsi="Calibri Light" w:cs="Arial"/>
          <w:sz w:val="24"/>
          <w:szCs w:val="24"/>
          <w:lang w:val="es-ES"/>
        </w:rPr>
        <w:t xml:space="preserve"> y aquellos </w:t>
      </w:r>
      <w:r w:rsidR="002C3D08" w:rsidRPr="009863F2">
        <w:rPr>
          <w:rFonts w:ascii="Calibri Light" w:hAnsi="Calibri Light" w:cs="Arial"/>
          <w:sz w:val="24"/>
          <w:szCs w:val="24"/>
          <w:lang w:val="es-ES"/>
        </w:rPr>
        <w:t xml:space="preserve">que son </w:t>
      </w:r>
      <w:r w:rsidRPr="009863F2">
        <w:rPr>
          <w:rFonts w:ascii="Calibri Light" w:hAnsi="Calibri Light" w:cs="Arial"/>
          <w:sz w:val="24"/>
          <w:szCs w:val="24"/>
          <w:lang w:val="es-ES"/>
        </w:rPr>
        <w:t xml:space="preserve">aprobados </w:t>
      </w:r>
      <w:r w:rsidR="002C3D08" w:rsidRPr="009863F2">
        <w:rPr>
          <w:rFonts w:ascii="Calibri Light" w:hAnsi="Calibri Light" w:cs="Arial"/>
          <w:sz w:val="24"/>
          <w:szCs w:val="24"/>
          <w:lang w:val="es-ES"/>
        </w:rPr>
        <w:t xml:space="preserve">firman </w:t>
      </w:r>
      <w:r w:rsidRPr="009863F2">
        <w:rPr>
          <w:rFonts w:ascii="Calibri Light" w:hAnsi="Calibri Light" w:cs="Arial"/>
          <w:sz w:val="24"/>
          <w:szCs w:val="24"/>
          <w:lang w:val="es-ES"/>
        </w:rPr>
        <w:t>contratos de alquiler formales.</w:t>
      </w:r>
    </w:p>
    <w:p w14:paraId="4D5158CA" w14:textId="18A1FE84" w:rsidR="00BC6E70" w:rsidRPr="009863F2" w:rsidRDefault="002C3D08" w:rsidP="009863F2">
      <w:pPr>
        <w:pStyle w:val="ListParagraph"/>
        <w:numPr>
          <w:ilvl w:val="0"/>
          <w:numId w:val="18"/>
        </w:numPr>
        <w:pBdr>
          <w:top w:val="single" w:sz="4" w:space="1" w:color="auto"/>
          <w:left w:val="single" w:sz="4" w:space="4" w:color="auto"/>
          <w:bottom w:val="single" w:sz="4" w:space="1" w:color="auto"/>
          <w:right w:val="single" w:sz="4" w:space="4" w:color="auto"/>
        </w:pBdr>
        <w:tabs>
          <w:tab w:val="left" w:pos="360"/>
        </w:tabs>
        <w:spacing w:after="0" w:line="240" w:lineRule="auto"/>
        <w:ind w:left="90" w:firstLine="0"/>
        <w:contextualSpacing w:val="0"/>
        <w:jc w:val="both"/>
        <w:rPr>
          <w:rFonts w:ascii="Calibri Light" w:hAnsi="Calibri Light" w:cs="Arial"/>
          <w:sz w:val="24"/>
          <w:szCs w:val="24"/>
          <w:lang w:val="es-ES"/>
        </w:rPr>
      </w:pPr>
      <w:r w:rsidRPr="009863F2">
        <w:rPr>
          <w:rFonts w:ascii="Calibri Light" w:hAnsi="Calibri Light" w:cs="Arial"/>
          <w:i/>
          <w:sz w:val="24"/>
          <w:szCs w:val="24"/>
          <w:lang w:val="es-ES"/>
        </w:rPr>
        <w:t>Las f</w:t>
      </w:r>
      <w:r w:rsidR="00BC6E70" w:rsidRPr="009863F2">
        <w:rPr>
          <w:rFonts w:ascii="Calibri Light" w:hAnsi="Calibri Light" w:cs="Arial"/>
          <w:i/>
          <w:sz w:val="24"/>
          <w:szCs w:val="24"/>
          <w:lang w:val="es-ES"/>
        </w:rPr>
        <w:t>amilias ocupan las viviendas y pagan con planes de ahorro y alquiler.</w:t>
      </w:r>
      <w:r w:rsidR="00BC6E70" w:rsidRPr="009863F2">
        <w:rPr>
          <w:rFonts w:ascii="Calibri Light" w:hAnsi="Calibri Light" w:cs="Arial"/>
          <w:sz w:val="24"/>
          <w:szCs w:val="24"/>
          <w:lang w:val="es-ES"/>
        </w:rPr>
        <w:t xml:space="preserve"> Durante este tiempo, las familias están construyendo un historial de pago en el sistema financiero formal, contribuyendo a su pago inicial futuro y calificando para su hipoteca inminente.</w:t>
      </w:r>
    </w:p>
    <w:p w14:paraId="5FA94AF9" w14:textId="4E0CEB14" w:rsidR="002C3D08" w:rsidRPr="009863F2" w:rsidRDefault="002C3D08" w:rsidP="009863F2">
      <w:pPr>
        <w:pStyle w:val="ListParagraph"/>
        <w:numPr>
          <w:ilvl w:val="0"/>
          <w:numId w:val="18"/>
        </w:numPr>
        <w:pBdr>
          <w:top w:val="single" w:sz="4" w:space="1" w:color="auto"/>
          <w:left w:val="single" w:sz="4" w:space="4" w:color="auto"/>
          <w:bottom w:val="single" w:sz="4" w:space="1" w:color="auto"/>
          <w:right w:val="single" w:sz="4" w:space="4" w:color="auto"/>
        </w:pBdr>
        <w:tabs>
          <w:tab w:val="left" w:pos="360"/>
        </w:tabs>
        <w:spacing w:after="0" w:line="240" w:lineRule="auto"/>
        <w:ind w:left="90" w:firstLine="0"/>
        <w:contextualSpacing w:val="0"/>
        <w:jc w:val="both"/>
        <w:rPr>
          <w:rFonts w:ascii="Calibri Light" w:hAnsi="Calibri Light" w:cs="Arial"/>
          <w:sz w:val="24"/>
          <w:szCs w:val="24"/>
          <w:lang w:val="es-ES"/>
        </w:rPr>
      </w:pPr>
      <w:r w:rsidRPr="009863F2">
        <w:rPr>
          <w:rFonts w:ascii="Calibri Light" w:hAnsi="Calibri Light" w:cs="Arial"/>
          <w:i/>
          <w:sz w:val="24"/>
          <w:szCs w:val="24"/>
          <w:lang w:val="es-ES"/>
        </w:rPr>
        <w:t>las f</w:t>
      </w:r>
      <w:r w:rsidR="00BC6E70" w:rsidRPr="009863F2">
        <w:rPr>
          <w:rFonts w:ascii="Calibri Light" w:hAnsi="Calibri Light" w:cs="Arial"/>
          <w:i/>
          <w:sz w:val="24"/>
          <w:szCs w:val="24"/>
          <w:lang w:val="es-ES"/>
        </w:rPr>
        <w:t xml:space="preserve">amilias </w:t>
      </w:r>
      <w:r w:rsidRPr="009863F2">
        <w:rPr>
          <w:rFonts w:ascii="Calibri Light" w:hAnsi="Calibri Light" w:cs="Arial"/>
          <w:i/>
          <w:sz w:val="24"/>
          <w:szCs w:val="24"/>
          <w:lang w:val="es-ES"/>
        </w:rPr>
        <w:t xml:space="preserve">contraen </w:t>
      </w:r>
      <w:r w:rsidR="00BC6E70" w:rsidRPr="009863F2">
        <w:rPr>
          <w:rFonts w:ascii="Calibri Light" w:hAnsi="Calibri Light" w:cs="Arial"/>
          <w:i/>
          <w:sz w:val="24"/>
          <w:szCs w:val="24"/>
          <w:lang w:val="es-ES"/>
        </w:rPr>
        <w:t xml:space="preserve">hipotecas de bancos comerciales </w:t>
      </w:r>
      <w:r w:rsidRPr="009863F2">
        <w:rPr>
          <w:rFonts w:ascii="Calibri Light" w:hAnsi="Calibri Light" w:cs="Arial"/>
          <w:i/>
          <w:sz w:val="24"/>
          <w:szCs w:val="24"/>
          <w:lang w:val="es-ES"/>
        </w:rPr>
        <w:t>asociados</w:t>
      </w:r>
      <w:r w:rsidR="00BC6E70" w:rsidRPr="009863F2">
        <w:rPr>
          <w:rFonts w:ascii="Calibri Light" w:hAnsi="Calibri Light" w:cs="Arial"/>
          <w:i/>
          <w:sz w:val="24"/>
          <w:szCs w:val="24"/>
          <w:lang w:val="es-ES"/>
        </w:rPr>
        <w:t>.</w:t>
      </w:r>
      <w:r w:rsidR="00BC6E70" w:rsidRPr="009863F2">
        <w:rPr>
          <w:rFonts w:ascii="Calibri Light" w:hAnsi="Calibri Light" w:cs="Arial"/>
          <w:sz w:val="24"/>
          <w:szCs w:val="24"/>
          <w:lang w:val="es-ES"/>
        </w:rPr>
        <w:t xml:space="preserve"> Sus hipotecas tendrán normalmente plazos de préstamo de 20 años y tasas de interés de mercado.</w:t>
      </w:r>
    </w:p>
    <w:p w14:paraId="66033FE7" w14:textId="77777777" w:rsidR="00AB6E92" w:rsidRDefault="00AB6E92" w:rsidP="009863F2">
      <w:pPr>
        <w:spacing w:after="0" w:line="240" w:lineRule="auto"/>
        <w:jc w:val="both"/>
        <w:rPr>
          <w:rFonts w:ascii="Calibri Light" w:hAnsi="Calibri Light" w:cs="Arial"/>
          <w:sz w:val="24"/>
          <w:szCs w:val="24"/>
          <w:lang w:val="es-ES"/>
        </w:rPr>
      </w:pPr>
    </w:p>
    <w:p w14:paraId="4907D036" w14:textId="49454739" w:rsidR="00BC6E70" w:rsidRDefault="00BC6E70" w:rsidP="009863F2">
      <w:pPr>
        <w:spacing w:after="0" w:line="240" w:lineRule="auto"/>
        <w:jc w:val="both"/>
        <w:rPr>
          <w:rFonts w:ascii="Calibri Light" w:hAnsi="Calibri Light" w:cs="Arial"/>
          <w:sz w:val="24"/>
          <w:szCs w:val="24"/>
          <w:lang w:val="es-AR"/>
        </w:rPr>
      </w:pPr>
      <w:r w:rsidRPr="009863F2">
        <w:rPr>
          <w:rFonts w:ascii="Calibri Light" w:hAnsi="Calibri Light" w:cs="Arial"/>
          <w:sz w:val="24"/>
          <w:szCs w:val="24"/>
          <w:lang w:val="es-ES"/>
        </w:rPr>
        <w:t>Asimismo, en cuanto a la tecnología crediticia</w:t>
      </w:r>
      <w:r w:rsidRPr="009863F2">
        <w:rPr>
          <w:rFonts w:ascii="Calibri Light" w:hAnsi="Calibri Light" w:cs="Arial"/>
          <w:sz w:val="24"/>
          <w:szCs w:val="24"/>
          <w:lang w:val="es-AR"/>
        </w:rPr>
        <w:t>, podría ser ventajoso revisar las metodologías de medición de riesgo de repago de hipotecas</w:t>
      </w:r>
      <w:r w:rsidR="002C3D08" w:rsidRPr="009863F2">
        <w:rPr>
          <w:rFonts w:ascii="Calibri Light" w:hAnsi="Calibri Light" w:cs="Arial"/>
          <w:sz w:val="24"/>
          <w:szCs w:val="24"/>
          <w:lang w:val="es-AR"/>
        </w:rPr>
        <w:t>,</w:t>
      </w:r>
      <w:r w:rsidRPr="009863F2">
        <w:rPr>
          <w:rFonts w:ascii="Calibri Light" w:hAnsi="Calibri Light" w:cs="Arial"/>
          <w:sz w:val="24"/>
          <w:szCs w:val="24"/>
          <w:lang w:val="es-AR"/>
        </w:rPr>
        <w:t xml:space="preserve"> dado que tienen una influencia decisiva sobre la selección de deudores. Un análisis más detenido de estas metodologías puede ayudar a establecer si el riesgo de repago </w:t>
      </w:r>
      <w:r w:rsidR="002C3D08" w:rsidRPr="009863F2">
        <w:rPr>
          <w:rFonts w:ascii="Calibri Light" w:hAnsi="Calibri Light" w:cs="Arial"/>
          <w:sz w:val="24"/>
          <w:szCs w:val="24"/>
          <w:lang w:val="es-AR"/>
        </w:rPr>
        <w:t>se estima con</w:t>
      </w:r>
      <w:r w:rsidRPr="009863F2">
        <w:rPr>
          <w:rFonts w:ascii="Calibri Light" w:hAnsi="Calibri Light" w:cs="Arial"/>
          <w:sz w:val="24"/>
          <w:szCs w:val="24"/>
          <w:lang w:val="es-AR"/>
        </w:rPr>
        <w:t xml:space="preserve"> precisión</w:t>
      </w:r>
      <w:r w:rsidR="002C3D08" w:rsidRPr="009863F2">
        <w:rPr>
          <w:rFonts w:ascii="Calibri Light" w:hAnsi="Calibri Light" w:cs="Arial"/>
          <w:sz w:val="24"/>
          <w:szCs w:val="24"/>
          <w:lang w:val="es-AR"/>
        </w:rPr>
        <w:t xml:space="preserve"> razonable</w:t>
      </w:r>
      <w:r w:rsidRPr="009863F2">
        <w:rPr>
          <w:rFonts w:ascii="Calibri Light" w:hAnsi="Calibri Light" w:cs="Arial"/>
          <w:sz w:val="24"/>
          <w:szCs w:val="24"/>
          <w:lang w:val="es-AR"/>
        </w:rPr>
        <w:t xml:space="preserve">, o si existe una sobrestimación del mismo, </w:t>
      </w:r>
      <w:r w:rsidR="002C3D08" w:rsidRPr="009863F2">
        <w:rPr>
          <w:rFonts w:ascii="Calibri Light" w:hAnsi="Calibri Light" w:cs="Arial"/>
          <w:sz w:val="24"/>
          <w:szCs w:val="24"/>
          <w:lang w:val="es-AR"/>
        </w:rPr>
        <w:t xml:space="preserve">lo </w:t>
      </w:r>
      <w:r w:rsidRPr="009863F2">
        <w:rPr>
          <w:rFonts w:ascii="Calibri Light" w:hAnsi="Calibri Light" w:cs="Arial"/>
          <w:sz w:val="24"/>
          <w:szCs w:val="24"/>
          <w:lang w:val="es-AR"/>
        </w:rPr>
        <w:t>que conduce a requisitos de elegibilidad excesivamente estrictos.</w:t>
      </w:r>
    </w:p>
    <w:p w14:paraId="01CA3BFD" w14:textId="77777777" w:rsidR="00AB6E92" w:rsidRPr="009863F2" w:rsidRDefault="00AB6E92" w:rsidP="009863F2">
      <w:pPr>
        <w:spacing w:after="0" w:line="240" w:lineRule="auto"/>
        <w:jc w:val="both"/>
        <w:rPr>
          <w:rFonts w:ascii="Calibri Light" w:hAnsi="Calibri Light" w:cs="Arial"/>
          <w:sz w:val="24"/>
          <w:szCs w:val="24"/>
          <w:lang w:val="es-ES"/>
        </w:rPr>
      </w:pPr>
    </w:p>
    <w:p w14:paraId="4BCB729F" w14:textId="005780D9" w:rsidR="00BC6E70" w:rsidRPr="009863F2" w:rsidRDefault="00BC6E70" w:rsidP="009863F2">
      <w:pPr>
        <w:pStyle w:val="Heading2"/>
        <w:numPr>
          <w:ilvl w:val="1"/>
          <w:numId w:val="1"/>
        </w:numPr>
        <w:spacing w:before="0" w:line="240" w:lineRule="auto"/>
        <w:rPr>
          <w:rFonts w:ascii="Calibri Light" w:hAnsi="Calibri Light" w:cs="Arial"/>
          <w:szCs w:val="24"/>
          <w:lang w:val="es-ES_tradnl"/>
        </w:rPr>
      </w:pPr>
      <w:bookmarkStart w:id="12" w:name="_Toc477773138"/>
      <w:bookmarkStart w:id="13" w:name="_Toc504406835"/>
      <w:r w:rsidRPr="009863F2">
        <w:rPr>
          <w:rFonts w:ascii="Calibri Light" w:hAnsi="Calibri Light" w:cs="Arial"/>
          <w:szCs w:val="24"/>
          <w:lang w:val="es-ES_tradnl"/>
        </w:rPr>
        <w:t xml:space="preserve">Desarrolladores inmobiliarios: </w:t>
      </w:r>
      <w:r w:rsidR="002C3D08" w:rsidRPr="009863F2">
        <w:rPr>
          <w:rFonts w:ascii="Calibri Light" w:hAnsi="Calibri Light" w:cs="Arial"/>
          <w:szCs w:val="24"/>
          <w:lang w:val="es-ES_tradnl"/>
        </w:rPr>
        <w:t>f</w:t>
      </w:r>
      <w:r w:rsidRPr="009863F2">
        <w:rPr>
          <w:rFonts w:ascii="Calibri Light" w:hAnsi="Calibri Light" w:cs="Arial"/>
          <w:szCs w:val="24"/>
          <w:lang w:val="es-ES_tradnl"/>
        </w:rPr>
        <w:t>inanciamiento para promover la oferta de vivienda nueva</w:t>
      </w:r>
      <w:bookmarkEnd w:id="12"/>
      <w:bookmarkEnd w:id="13"/>
    </w:p>
    <w:p w14:paraId="56F910C8" w14:textId="77777777" w:rsidR="00EF0942" w:rsidRPr="009863F2" w:rsidRDefault="00EF0942" w:rsidP="009863F2">
      <w:pPr>
        <w:pStyle w:val="Heading3"/>
        <w:spacing w:line="240" w:lineRule="auto"/>
        <w:rPr>
          <w:rFonts w:ascii="Calibri Light" w:hAnsi="Calibri Light" w:cs="Arial"/>
          <w:sz w:val="24"/>
          <w:szCs w:val="24"/>
          <w:lang w:val="es-ES"/>
        </w:rPr>
      </w:pPr>
    </w:p>
    <w:p w14:paraId="2C05AC63" w14:textId="77777777"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Contexto general</w:t>
      </w:r>
    </w:p>
    <w:p w14:paraId="70B322BC" w14:textId="145DCDE2" w:rsidR="00BC6E70" w:rsidRPr="009863F2" w:rsidRDefault="002C3D08"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lastRenderedPageBreak/>
        <w:t>E</w:t>
      </w:r>
      <w:r w:rsidR="00BC6E70" w:rsidRPr="009863F2">
        <w:rPr>
          <w:rFonts w:ascii="Calibri Light" w:hAnsi="Calibri Light" w:cs="Arial"/>
          <w:sz w:val="24"/>
          <w:szCs w:val="24"/>
          <w:lang w:val="es-ES_tradnl"/>
        </w:rPr>
        <w:t>n varios países de la región</w:t>
      </w:r>
      <w:r w:rsidRPr="009863F2">
        <w:rPr>
          <w:rFonts w:ascii="Calibri Light" w:hAnsi="Calibri Light" w:cs="Arial"/>
          <w:sz w:val="24"/>
          <w:szCs w:val="24"/>
          <w:lang w:val="es-ES_tradnl"/>
        </w:rPr>
        <w:t xml:space="preserve"> es común</w:t>
      </w:r>
      <w:r w:rsidR="00BC6E70" w:rsidRPr="009863F2">
        <w:rPr>
          <w:rFonts w:ascii="Calibri Light" w:hAnsi="Calibri Light" w:cs="Arial"/>
          <w:sz w:val="24"/>
          <w:szCs w:val="24"/>
          <w:lang w:val="es-ES_tradnl"/>
        </w:rPr>
        <w:t xml:space="preserve"> que los desarrolladores inmobiliarios autofinancien sus proyectos u obtengan fondos </w:t>
      </w:r>
      <w:r w:rsidRPr="009863F2">
        <w:rPr>
          <w:rFonts w:ascii="Calibri Light" w:hAnsi="Calibri Light" w:cs="Arial"/>
          <w:sz w:val="24"/>
          <w:szCs w:val="24"/>
          <w:lang w:val="es-ES_tradnl"/>
        </w:rPr>
        <w:t>con el apoyo de</w:t>
      </w:r>
      <w:r w:rsidR="00BC6E70" w:rsidRPr="009863F2">
        <w:rPr>
          <w:rFonts w:ascii="Calibri Light" w:hAnsi="Calibri Light" w:cs="Arial"/>
          <w:sz w:val="24"/>
          <w:szCs w:val="24"/>
          <w:lang w:val="es-ES_tradnl"/>
        </w:rPr>
        <w:t xml:space="preserve"> una garantía personal o empresarial, en vez de apalancar el valor final de sus </w:t>
      </w:r>
      <w:r w:rsidRPr="009863F2">
        <w:rPr>
          <w:rFonts w:ascii="Calibri Light" w:hAnsi="Calibri Light" w:cs="Arial"/>
          <w:sz w:val="24"/>
          <w:szCs w:val="24"/>
          <w:lang w:val="es-ES_tradnl"/>
        </w:rPr>
        <w:t>emprendimientos</w:t>
      </w:r>
      <w:r w:rsidR="00BC6E70"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Por ello</w:t>
      </w:r>
      <w:r w:rsidR="00BC6E70" w:rsidRPr="009863F2">
        <w:rPr>
          <w:rFonts w:ascii="Calibri Light" w:hAnsi="Calibri Light" w:cs="Arial"/>
          <w:sz w:val="24"/>
          <w:szCs w:val="24"/>
          <w:lang w:val="es-ES_tradnl"/>
        </w:rPr>
        <w:t xml:space="preserve">, en ausencia de crédito hipotecario para la mayoría de la población (clases media y baja), la oferta de vivienda nueva termina concentrándose en la población </w:t>
      </w:r>
      <w:r w:rsidRPr="009863F2">
        <w:rPr>
          <w:rFonts w:ascii="Calibri Light" w:hAnsi="Calibri Light" w:cs="Arial"/>
          <w:sz w:val="24"/>
          <w:szCs w:val="24"/>
          <w:lang w:val="es-ES_tradnl"/>
        </w:rPr>
        <w:t xml:space="preserve">que ostenta </w:t>
      </w:r>
      <w:r w:rsidR="00BC6E70" w:rsidRPr="009863F2">
        <w:rPr>
          <w:rFonts w:ascii="Calibri Light" w:hAnsi="Calibri Light" w:cs="Arial"/>
          <w:sz w:val="24"/>
          <w:szCs w:val="24"/>
          <w:lang w:val="es-ES_tradnl"/>
        </w:rPr>
        <w:t xml:space="preserve">las rentas más </w:t>
      </w:r>
      <w:r w:rsidRPr="009863F2">
        <w:rPr>
          <w:rFonts w:ascii="Calibri Light" w:hAnsi="Calibri Light" w:cs="Arial"/>
          <w:sz w:val="24"/>
          <w:szCs w:val="24"/>
          <w:lang w:val="es-ES_tradnl"/>
        </w:rPr>
        <w:t>elevadas y que es capaz</w:t>
      </w:r>
      <w:r w:rsidR="00BC6E70" w:rsidRPr="009863F2">
        <w:rPr>
          <w:rFonts w:ascii="Calibri Light" w:hAnsi="Calibri Light" w:cs="Arial"/>
          <w:sz w:val="24"/>
          <w:szCs w:val="24"/>
          <w:lang w:val="es-ES_tradnl"/>
        </w:rPr>
        <w:t xml:space="preserve"> de hacer pagos por adelantado o por avance de obra a los desarrolladores inmobiliarios.</w:t>
      </w:r>
    </w:p>
    <w:p w14:paraId="5AD063C8" w14:textId="77777777" w:rsidR="00AB6E92" w:rsidRDefault="00AB6E92" w:rsidP="009863F2">
      <w:pPr>
        <w:spacing w:after="0" w:line="240" w:lineRule="auto"/>
        <w:jc w:val="both"/>
        <w:rPr>
          <w:rFonts w:ascii="Calibri Light" w:hAnsi="Calibri Light" w:cs="Arial"/>
          <w:sz w:val="24"/>
          <w:szCs w:val="24"/>
          <w:lang w:val="es-ES_tradnl"/>
        </w:rPr>
      </w:pPr>
    </w:p>
    <w:p w14:paraId="23487F29" w14:textId="5847F009"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_tradnl"/>
        </w:rPr>
        <w:t xml:space="preserve">Esto a su vez tiene resultados previsibles: i) la oferta se concentra en viviendas unifamiliares o de gran tamaño, </w:t>
      </w:r>
      <w:r w:rsidR="002C3D08" w:rsidRPr="009863F2">
        <w:rPr>
          <w:rFonts w:ascii="Calibri Light" w:hAnsi="Calibri Light" w:cs="Arial"/>
          <w:sz w:val="24"/>
          <w:szCs w:val="24"/>
          <w:lang w:val="es-ES_tradnl"/>
        </w:rPr>
        <w:t xml:space="preserve">lo cual tiene un </w:t>
      </w:r>
      <w:r w:rsidRPr="009863F2">
        <w:rPr>
          <w:rFonts w:ascii="Calibri Light" w:hAnsi="Calibri Light" w:cs="Arial"/>
          <w:sz w:val="24"/>
          <w:szCs w:val="24"/>
          <w:lang w:val="es-ES_tradnl"/>
        </w:rPr>
        <w:t>impacto sobre el uso de suelo urbano y la densidad</w:t>
      </w:r>
      <w:r w:rsidR="00025BEF" w:rsidRPr="009863F2">
        <w:rPr>
          <w:rFonts w:ascii="Calibri Light" w:hAnsi="Calibri Light" w:cs="Arial"/>
          <w:sz w:val="24"/>
          <w:szCs w:val="24"/>
          <w:lang w:val="es-ES_tradnl"/>
        </w:rPr>
        <w:t xml:space="preserve"> o </w:t>
      </w:r>
      <w:r w:rsidR="002C3D08" w:rsidRPr="009863F2">
        <w:rPr>
          <w:rFonts w:ascii="Calibri Light" w:hAnsi="Calibri Light" w:cs="Arial"/>
          <w:sz w:val="24"/>
          <w:szCs w:val="24"/>
          <w:lang w:val="es-ES_tradnl"/>
        </w:rPr>
        <w:t xml:space="preserve">sobre </w:t>
      </w:r>
      <w:r w:rsidR="00025BEF" w:rsidRPr="009863F2">
        <w:rPr>
          <w:rFonts w:ascii="Calibri Light" w:hAnsi="Calibri Light" w:cs="Arial"/>
          <w:sz w:val="24"/>
          <w:szCs w:val="24"/>
          <w:lang w:val="es-ES_tradnl"/>
        </w:rPr>
        <w:t xml:space="preserve">desarrollos que, por sus relaciones de retorno de la inversión, tienden a generar viviendas multifamiliares en el sector </w:t>
      </w:r>
      <w:r w:rsidR="00EF0942" w:rsidRPr="009863F2">
        <w:rPr>
          <w:rFonts w:ascii="Calibri Light" w:hAnsi="Calibri Light" w:cs="Arial"/>
          <w:sz w:val="24"/>
          <w:szCs w:val="24"/>
          <w:lang w:val="es-ES_tradnl"/>
        </w:rPr>
        <w:t>de mayores ingresos</w:t>
      </w:r>
      <w:r w:rsidRPr="009863F2">
        <w:rPr>
          <w:rFonts w:ascii="Calibri Light" w:hAnsi="Calibri Light" w:cs="Arial"/>
          <w:sz w:val="24"/>
          <w:szCs w:val="24"/>
          <w:lang w:val="es-ES_tradnl"/>
        </w:rPr>
        <w:t>; (i) para la clase media y media baja la oferta es muy escasa, y alejada de los centros urbanos, tanto más a medida que se encarece el precio del suelo</w:t>
      </w:r>
      <w:r w:rsidR="002C3D08"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iii) para la mayoría de la población </w:t>
      </w:r>
      <w:r w:rsidR="00EF0942" w:rsidRPr="009863F2">
        <w:rPr>
          <w:rFonts w:ascii="Calibri Light" w:hAnsi="Calibri Light" w:cs="Arial"/>
          <w:sz w:val="24"/>
          <w:szCs w:val="24"/>
          <w:lang w:val="es-ES_tradnl"/>
        </w:rPr>
        <w:t>de menores ingresos</w:t>
      </w:r>
      <w:r w:rsidR="00025BEF" w:rsidRPr="009863F2">
        <w:rPr>
          <w:rFonts w:ascii="Calibri Light" w:hAnsi="Calibri Light" w:cs="Arial"/>
          <w:sz w:val="24"/>
          <w:szCs w:val="24"/>
          <w:lang w:val="es-ES_tradnl"/>
        </w:rPr>
        <w:t xml:space="preserve">, </w:t>
      </w:r>
      <w:r w:rsidRPr="009863F2">
        <w:rPr>
          <w:rFonts w:ascii="Calibri Light" w:hAnsi="Calibri Light" w:cs="Arial"/>
          <w:sz w:val="24"/>
          <w:szCs w:val="24"/>
          <w:lang w:val="es-ES_tradnl"/>
        </w:rPr>
        <w:t xml:space="preserve">la solución habitacional pasa por la autoconstrucción o ampliaciones en viviendas existentes, lo cual </w:t>
      </w:r>
      <w:r w:rsidR="002C3D08" w:rsidRPr="009863F2">
        <w:rPr>
          <w:rFonts w:ascii="Calibri Light" w:hAnsi="Calibri Light" w:cs="Arial"/>
          <w:sz w:val="24"/>
          <w:szCs w:val="24"/>
          <w:lang w:val="es-ES_tradnl"/>
        </w:rPr>
        <w:t>acentúa</w:t>
      </w:r>
      <w:r w:rsidRPr="009863F2">
        <w:rPr>
          <w:rFonts w:ascii="Calibri Light" w:hAnsi="Calibri Light" w:cs="Arial"/>
          <w:sz w:val="24"/>
          <w:szCs w:val="24"/>
          <w:lang w:val="es-ES_tradnl"/>
        </w:rPr>
        <w:t xml:space="preserve"> el déficit cualitativo.</w:t>
      </w:r>
    </w:p>
    <w:p w14:paraId="7BF300A7" w14:textId="77777777" w:rsidR="00AB6E92" w:rsidRDefault="00AB6E92" w:rsidP="009863F2">
      <w:pPr>
        <w:spacing w:after="0" w:line="240" w:lineRule="auto"/>
        <w:rPr>
          <w:rFonts w:ascii="Calibri Light" w:hAnsi="Calibri Light" w:cs="Arial"/>
          <w:b/>
          <w:i/>
          <w:sz w:val="24"/>
          <w:szCs w:val="24"/>
          <w:lang w:val="es-ES_tradnl"/>
        </w:rPr>
      </w:pPr>
    </w:p>
    <w:p w14:paraId="2F42FAEC" w14:textId="2ABEFCBF" w:rsidR="00BC6E70" w:rsidRPr="009863F2" w:rsidRDefault="002C3D08"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La p</w:t>
      </w:r>
      <w:r w:rsidR="00BC6E70" w:rsidRPr="009863F2">
        <w:rPr>
          <w:rFonts w:ascii="Calibri Light" w:hAnsi="Calibri Light" w:cs="Arial"/>
          <w:b/>
          <w:i/>
          <w:sz w:val="24"/>
          <w:szCs w:val="24"/>
          <w:lang w:val="es-ES_tradnl"/>
        </w:rPr>
        <w:t>roblemática del financiamiento</w:t>
      </w:r>
    </w:p>
    <w:p w14:paraId="37A0FDF6" w14:textId="661C85AB" w:rsidR="00BC6E70" w:rsidRPr="009863F2"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La escasez de oferta de crédito </w:t>
      </w:r>
      <w:r w:rsidR="002C3D08" w:rsidRPr="009863F2">
        <w:rPr>
          <w:rFonts w:ascii="Calibri Light" w:hAnsi="Calibri Light" w:cs="Arial"/>
          <w:sz w:val="24"/>
          <w:szCs w:val="24"/>
          <w:lang w:val="es-ES_tradnl"/>
        </w:rPr>
        <w:t>par</w:t>
      </w:r>
      <w:r w:rsidRPr="009863F2">
        <w:rPr>
          <w:rFonts w:ascii="Calibri Light" w:hAnsi="Calibri Light" w:cs="Arial"/>
          <w:sz w:val="24"/>
          <w:szCs w:val="24"/>
          <w:lang w:val="es-ES_tradnl"/>
        </w:rPr>
        <w:t xml:space="preserve">a desarrolladores inmobiliarios es una problemática común que afecta a varios países </w:t>
      </w:r>
      <w:r w:rsidR="002C3D08"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 xml:space="preserve">la región. En un grupo focal realizado recientemente por el </w:t>
      </w:r>
      <w:r w:rsidR="002C3D08" w:rsidRPr="009863F2">
        <w:rPr>
          <w:rFonts w:ascii="Calibri Light" w:hAnsi="Calibri Light" w:cs="Arial"/>
          <w:sz w:val="24"/>
          <w:szCs w:val="24"/>
          <w:lang w:val="es-ES_tradnl"/>
        </w:rPr>
        <w:t xml:space="preserve">BID </w:t>
      </w:r>
      <w:r w:rsidRPr="009863F2">
        <w:rPr>
          <w:rFonts w:ascii="Calibri Light" w:hAnsi="Calibri Light" w:cs="Arial"/>
          <w:sz w:val="24"/>
          <w:szCs w:val="24"/>
          <w:lang w:val="es-ES_tradnl"/>
        </w:rPr>
        <w:t>con desarrolladores de vivienda e IF en Paraguay</w:t>
      </w:r>
      <w:r w:rsidR="002C3D08"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se confirmó que: i) no existe una oferta de crédito específicamente diseñada para el negocio de promoción de vivienda, con condiciones estructuradas a partir de los flujos y la rentabilidad de cada proyecto; ii) actualmente los desarrolladores pueden acceder solo a productos de crédito personal o empresarial respaldados por garantías personales y/o corporativas</w:t>
      </w:r>
      <w:r w:rsidR="002C3D08"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iii) bajo las condiciones actuales la oferta crediticia para el sector presenta una tasa </w:t>
      </w:r>
      <w:r w:rsidR="00025BEF" w:rsidRPr="009863F2">
        <w:rPr>
          <w:rFonts w:ascii="Calibri Light" w:hAnsi="Calibri Light" w:cs="Arial"/>
          <w:sz w:val="24"/>
          <w:szCs w:val="24"/>
          <w:lang w:val="es-ES_tradnl"/>
        </w:rPr>
        <w:t xml:space="preserve">en dólares </w:t>
      </w:r>
      <w:r w:rsidRPr="009863F2">
        <w:rPr>
          <w:rFonts w:ascii="Calibri Light" w:hAnsi="Calibri Light" w:cs="Arial"/>
          <w:sz w:val="24"/>
          <w:szCs w:val="24"/>
          <w:lang w:val="es-ES_tradnl"/>
        </w:rPr>
        <w:t xml:space="preserve">de entre </w:t>
      </w:r>
      <w:r w:rsidR="002C3D08" w:rsidRPr="009863F2">
        <w:rPr>
          <w:rFonts w:ascii="Calibri Light" w:hAnsi="Calibri Light" w:cs="Arial"/>
          <w:sz w:val="24"/>
          <w:szCs w:val="24"/>
          <w:lang w:val="es-ES_tradnl"/>
        </w:rPr>
        <w:t xml:space="preserve">el </w:t>
      </w:r>
      <w:r w:rsidRPr="009863F2">
        <w:rPr>
          <w:rFonts w:ascii="Calibri Light" w:hAnsi="Calibri Light" w:cs="Arial"/>
          <w:sz w:val="24"/>
          <w:szCs w:val="24"/>
          <w:lang w:val="es-ES_tradnl"/>
        </w:rPr>
        <w:t xml:space="preserve">16% y </w:t>
      </w:r>
      <w:r w:rsidR="002C3D08" w:rsidRPr="009863F2">
        <w:rPr>
          <w:rFonts w:ascii="Calibri Light" w:hAnsi="Calibri Light" w:cs="Arial"/>
          <w:sz w:val="24"/>
          <w:szCs w:val="24"/>
          <w:lang w:val="es-ES_tradnl"/>
        </w:rPr>
        <w:t xml:space="preserve">el </w:t>
      </w:r>
      <w:r w:rsidRPr="009863F2">
        <w:rPr>
          <w:rFonts w:ascii="Calibri Light" w:hAnsi="Calibri Light" w:cs="Arial"/>
          <w:sz w:val="24"/>
          <w:szCs w:val="24"/>
          <w:lang w:val="es-ES_tradnl"/>
        </w:rPr>
        <w:t>18%. Todo ello dificulta la viabilidad de un modelo de negocio que debe apoyarse en grandes inversiones con menores márgenes de los que deja la vivienda individual, y termina por limitar la capacidad de los empresarios para proveer vivienda nueva</w:t>
      </w:r>
      <w:r w:rsidRPr="009863F2">
        <w:rPr>
          <w:rStyle w:val="FootnoteReference"/>
          <w:rFonts w:ascii="Calibri Light" w:eastAsia="Calibri" w:hAnsi="Calibri Light" w:cs="Arial"/>
          <w:sz w:val="24"/>
          <w:szCs w:val="24"/>
        </w:rPr>
        <w:footnoteReference w:id="13"/>
      </w:r>
      <w:r w:rsidRPr="009863F2">
        <w:rPr>
          <w:rFonts w:ascii="Calibri Light" w:hAnsi="Calibri Light" w:cs="Arial"/>
          <w:sz w:val="24"/>
          <w:szCs w:val="24"/>
          <w:lang w:val="es-ES_tradnl"/>
        </w:rPr>
        <w:t>.</w:t>
      </w:r>
    </w:p>
    <w:p w14:paraId="100BDAC3" w14:textId="77777777" w:rsidR="00AB6E92" w:rsidRDefault="00AB6E92" w:rsidP="009863F2">
      <w:pPr>
        <w:spacing w:after="0" w:line="240" w:lineRule="auto"/>
        <w:rPr>
          <w:rFonts w:ascii="Calibri Light" w:hAnsi="Calibri Light" w:cs="Arial"/>
          <w:b/>
          <w:i/>
          <w:sz w:val="24"/>
          <w:szCs w:val="24"/>
          <w:lang w:val="es-ES_tradnl"/>
        </w:rPr>
      </w:pPr>
    </w:p>
    <w:p w14:paraId="363B921F" w14:textId="46C5098A"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Intervenciones</w:t>
      </w:r>
    </w:p>
    <w:p w14:paraId="0C6CBE6E" w14:textId="64A6AD08" w:rsidR="00017017" w:rsidRDefault="00BC6E70" w:rsidP="009863F2">
      <w:pPr>
        <w:spacing w:after="0" w:line="240" w:lineRule="auto"/>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Resulta clave promover la oferta de crédito al desarrollador de vivienda o </w:t>
      </w:r>
      <w:r w:rsidRPr="009863F2">
        <w:rPr>
          <w:rFonts w:ascii="Calibri Light" w:hAnsi="Calibri Light" w:cs="Arial"/>
          <w:i/>
          <w:sz w:val="24"/>
          <w:szCs w:val="24"/>
          <w:lang w:val="es-ES_tradnl"/>
        </w:rPr>
        <w:t>crédito puente</w:t>
      </w:r>
      <w:r w:rsidRPr="009863F2">
        <w:rPr>
          <w:rFonts w:ascii="Calibri Light" w:hAnsi="Calibri Light" w:cs="Arial"/>
          <w:sz w:val="24"/>
          <w:szCs w:val="24"/>
          <w:lang w:val="es-ES_tradnl"/>
        </w:rPr>
        <w:t xml:space="preserve"> a través de las IF. Por crédito puente se entiende un financiamiento de mediano plazo dirigido a desarrolladores, promotores y constructores de vivienda, que tiene por objeto la construcción de edificios multifamiliares, </w:t>
      </w:r>
      <w:r w:rsidR="002C3D08" w:rsidRPr="009863F2">
        <w:rPr>
          <w:rFonts w:ascii="Calibri Light" w:hAnsi="Calibri Light" w:cs="Arial"/>
          <w:sz w:val="24"/>
          <w:szCs w:val="24"/>
          <w:lang w:val="es-ES_tradnl"/>
        </w:rPr>
        <w:t xml:space="preserve">y emprendimientos </w:t>
      </w:r>
      <w:r w:rsidRPr="009863F2">
        <w:rPr>
          <w:rFonts w:ascii="Calibri Light" w:hAnsi="Calibri Light" w:cs="Arial"/>
          <w:sz w:val="24"/>
          <w:szCs w:val="24"/>
          <w:lang w:val="es-ES_tradnl"/>
        </w:rPr>
        <w:t xml:space="preserve">y/o conjuntos habitacionales. Si bien puede adoptar distintas fórmulas, </w:t>
      </w:r>
      <w:r w:rsidR="002C3D08" w:rsidRPr="009863F2">
        <w:rPr>
          <w:rFonts w:ascii="Calibri Light" w:hAnsi="Calibri Light" w:cs="Arial"/>
          <w:sz w:val="24"/>
          <w:szCs w:val="24"/>
          <w:lang w:val="es-ES_tradnl"/>
        </w:rPr>
        <w:t xml:space="preserve">este crédito </w:t>
      </w:r>
      <w:r w:rsidRPr="009863F2">
        <w:rPr>
          <w:rFonts w:ascii="Calibri Light" w:hAnsi="Calibri Light" w:cs="Arial"/>
          <w:sz w:val="24"/>
          <w:szCs w:val="24"/>
          <w:lang w:val="es-ES_tradnl"/>
        </w:rPr>
        <w:t xml:space="preserve">debe reunir algunas características mínimas para ser útil, tales como: i) </w:t>
      </w:r>
      <w:r w:rsidR="002C3D08" w:rsidRPr="009863F2">
        <w:rPr>
          <w:rFonts w:ascii="Calibri Light" w:hAnsi="Calibri Light" w:cs="Arial"/>
          <w:sz w:val="24"/>
          <w:szCs w:val="24"/>
          <w:lang w:val="es-ES_tradnl"/>
        </w:rPr>
        <w:t xml:space="preserve">ofrecer el </w:t>
      </w:r>
      <w:r w:rsidRPr="009863F2">
        <w:rPr>
          <w:rFonts w:ascii="Calibri Light" w:hAnsi="Calibri Light" w:cs="Arial"/>
          <w:sz w:val="24"/>
          <w:szCs w:val="24"/>
          <w:lang w:val="es-ES_tradnl"/>
        </w:rPr>
        <w:t xml:space="preserve">financiamiento parcial del proyecto, con anticipo; ii) </w:t>
      </w:r>
      <w:r w:rsidR="002C3D08" w:rsidRPr="009863F2">
        <w:rPr>
          <w:rFonts w:ascii="Calibri Light" w:hAnsi="Calibri Light" w:cs="Arial"/>
          <w:sz w:val="24"/>
          <w:szCs w:val="24"/>
          <w:lang w:val="es-ES_tradnl"/>
        </w:rPr>
        <w:t xml:space="preserve">ser de </w:t>
      </w:r>
      <w:r w:rsidRPr="009863F2">
        <w:rPr>
          <w:rFonts w:ascii="Calibri Light" w:hAnsi="Calibri Light" w:cs="Arial"/>
          <w:sz w:val="24"/>
          <w:szCs w:val="24"/>
          <w:lang w:val="es-ES_tradnl"/>
        </w:rPr>
        <w:t xml:space="preserve">mediano plazo (comúnmente hasta 36 meses); iii) </w:t>
      </w:r>
      <w:r w:rsidR="00695BCD" w:rsidRPr="009863F2">
        <w:rPr>
          <w:rFonts w:ascii="Calibri Light" w:hAnsi="Calibri Light" w:cs="Arial"/>
          <w:sz w:val="24"/>
          <w:szCs w:val="24"/>
          <w:lang w:val="es-ES_tradnl"/>
        </w:rPr>
        <w:t xml:space="preserve">que los </w:t>
      </w:r>
      <w:r w:rsidRPr="009863F2">
        <w:rPr>
          <w:rFonts w:ascii="Calibri Light" w:hAnsi="Calibri Light" w:cs="Arial"/>
          <w:sz w:val="24"/>
          <w:szCs w:val="24"/>
          <w:lang w:val="es-ES_tradnl"/>
        </w:rPr>
        <w:t xml:space="preserve">desembolsos </w:t>
      </w:r>
      <w:r w:rsidR="00695BCD" w:rsidRPr="009863F2">
        <w:rPr>
          <w:rFonts w:ascii="Calibri Light" w:hAnsi="Calibri Light" w:cs="Arial"/>
          <w:sz w:val="24"/>
          <w:szCs w:val="24"/>
          <w:lang w:val="es-ES_tradnl"/>
        </w:rPr>
        <w:t xml:space="preserve">se realicen </w:t>
      </w:r>
      <w:r w:rsidRPr="009863F2">
        <w:rPr>
          <w:rFonts w:ascii="Calibri Light" w:hAnsi="Calibri Light" w:cs="Arial"/>
          <w:sz w:val="24"/>
          <w:szCs w:val="24"/>
          <w:lang w:val="es-ES_tradnl"/>
        </w:rPr>
        <w:t>conforme el avance de obra</w:t>
      </w:r>
      <w:r w:rsidR="00695BCD"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(iv) </w:t>
      </w:r>
      <w:r w:rsidR="00695BCD" w:rsidRPr="009863F2">
        <w:rPr>
          <w:rFonts w:ascii="Calibri Light" w:hAnsi="Calibri Light" w:cs="Arial"/>
          <w:sz w:val="24"/>
          <w:szCs w:val="24"/>
          <w:lang w:val="es-ES_tradnl"/>
        </w:rPr>
        <w:t>su utilización</w:t>
      </w:r>
      <w:r w:rsidRPr="009863F2">
        <w:rPr>
          <w:rFonts w:ascii="Calibri Light" w:hAnsi="Calibri Light" w:cs="Arial"/>
          <w:sz w:val="24"/>
          <w:szCs w:val="24"/>
          <w:lang w:val="es-ES_tradnl"/>
        </w:rPr>
        <w:t xml:space="preserve"> como puente para la amortización del crédito conforme se </w:t>
      </w:r>
      <w:r w:rsidR="00695BCD" w:rsidRPr="009863F2">
        <w:rPr>
          <w:rFonts w:ascii="Calibri Light" w:hAnsi="Calibri Light" w:cs="Arial"/>
          <w:sz w:val="24"/>
          <w:szCs w:val="24"/>
          <w:lang w:val="es-ES_tradnl"/>
        </w:rPr>
        <w:t xml:space="preserve">produce </w:t>
      </w:r>
      <w:r w:rsidRPr="009863F2">
        <w:rPr>
          <w:rFonts w:ascii="Calibri Light" w:hAnsi="Calibri Light" w:cs="Arial"/>
          <w:sz w:val="24"/>
          <w:szCs w:val="24"/>
          <w:lang w:val="es-ES_tradnl"/>
        </w:rPr>
        <w:t>la venta de cada una de las viviendas. Es importante señalar que para que los desarrolladores, promotores y constructores de vivienda puedan acceder al crédito puente, deben cumplir con ciertos requisitos mínimos como</w:t>
      </w:r>
      <w:r w:rsidR="00695BCD" w:rsidRPr="009863F2">
        <w:rPr>
          <w:rFonts w:ascii="Calibri Light" w:hAnsi="Calibri Light" w:cs="Arial"/>
          <w:sz w:val="24"/>
          <w:szCs w:val="24"/>
          <w:lang w:val="es-ES_tradnl"/>
        </w:rPr>
        <w:t xml:space="preserve"> tener en orden las</w:t>
      </w:r>
      <w:r w:rsidRPr="009863F2">
        <w:rPr>
          <w:rFonts w:ascii="Calibri Light" w:hAnsi="Calibri Light" w:cs="Arial"/>
          <w:sz w:val="24"/>
          <w:szCs w:val="24"/>
          <w:lang w:val="es-ES_tradnl"/>
        </w:rPr>
        <w:t xml:space="preserve"> licencias, permisos y autorizaciones del proyecto </w:t>
      </w:r>
      <w:r w:rsidR="00695BCD" w:rsidRPr="009863F2">
        <w:rPr>
          <w:rFonts w:ascii="Calibri Light" w:hAnsi="Calibri Light" w:cs="Arial"/>
          <w:sz w:val="24"/>
          <w:szCs w:val="24"/>
          <w:lang w:val="es-ES_tradnl"/>
        </w:rPr>
        <w:t>correspondientes</w:t>
      </w:r>
      <w:r w:rsidRPr="009863F2">
        <w:rPr>
          <w:rFonts w:ascii="Calibri Light" w:hAnsi="Calibri Light" w:cs="Arial"/>
          <w:sz w:val="24"/>
          <w:szCs w:val="24"/>
          <w:lang w:val="es-ES_tradnl"/>
        </w:rPr>
        <w:t xml:space="preserve">, y </w:t>
      </w:r>
      <w:r w:rsidR="00695BCD" w:rsidRPr="009863F2">
        <w:rPr>
          <w:rFonts w:ascii="Calibri Light" w:hAnsi="Calibri Light" w:cs="Arial"/>
          <w:sz w:val="24"/>
          <w:szCs w:val="24"/>
          <w:lang w:val="es-ES_tradnl"/>
        </w:rPr>
        <w:t xml:space="preserve">ofrecer una </w:t>
      </w:r>
      <w:r w:rsidRPr="009863F2">
        <w:rPr>
          <w:rFonts w:ascii="Calibri Light" w:hAnsi="Calibri Light" w:cs="Arial"/>
          <w:sz w:val="24"/>
          <w:szCs w:val="24"/>
          <w:lang w:val="es-ES_tradnl"/>
        </w:rPr>
        <w:t>garantía sobre el terreno donde se construirá el proyecto.</w:t>
      </w:r>
    </w:p>
    <w:p w14:paraId="6948ED0B" w14:textId="77777777" w:rsidR="00AB6E92" w:rsidRPr="009863F2" w:rsidRDefault="00AB6E92" w:rsidP="009863F2">
      <w:pPr>
        <w:spacing w:after="0" w:line="240" w:lineRule="auto"/>
        <w:jc w:val="both"/>
        <w:rPr>
          <w:rFonts w:ascii="Calibri Light" w:hAnsi="Calibri Light" w:cs="Arial"/>
          <w:sz w:val="24"/>
          <w:szCs w:val="24"/>
          <w:lang w:val="es-ES_tradnl"/>
        </w:rPr>
      </w:pPr>
    </w:p>
    <w:p w14:paraId="07B5A99C" w14:textId="77777777" w:rsidR="002C3D08" w:rsidRPr="009863F2" w:rsidRDefault="00BB00AA" w:rsidP="009863F2">
      <w:pPr>
        <w:pBdr>
          <w:top w:val="single" w:sz="4" w:space="1" w:color="auto"/>
          <w:left w:val="single" w:sz="4" w:space="4" w:color="auto"/>
          <w:bottom w:val="single" w:sz="4" w:space="1" w:color="auto"/>
          <w:right w:val="single" w:sz="4" w:space="4" w:color="auto"/>
        </w:pBdr>
        <w:spacing w:after="0" w:line="240" w:lineRule="auto"/>
        <w:ind w:left="90"/>
        <w:jc w:val="center"/>
        <w:rPr>
          <w:rFonts w:ascii="Calibri Light" w:hAnsi="Calibri Light" w:cs="Arial"/>
          <w:b/>
          <w:sz w:val="24"/>
          <w:szCs w:val="24"/>
          <w:lang w:val="es-ES"/>
        </w:rPr>
      </w:pPr>
      <w:r w:rsidRPr="009863F2">
        <w:rPr>
          <w:rFonts w:ascii="Calibri Light" w:hAnsi="Calibri Light" w:cs="Arial"/>
          <w:b/>
          <w:sz w:val="24"/>
          <w:szCs w:val="24"/>
          <w:lang w:val="es-ES"/>
        </w:rPr>
        <w:lastRenderedPageBreak/>
        <w:t>Recuadro 2</w:t>
      </w:r>
    </w:p>
    <w:p w14:paraId="04C1B40C" w14:textId="598CDC14" w:rsidR="00CF43E1" w:rsidRPr="009863F2" w:rsidRDefault="00695BCD" w:rsidP="009863F2">
      <w:pPr>
        <w:pBdr>
          <w:top w:val="single" w:sz="4" w:space="1" w:color="auto"/>
          <w:left w:val="single" w:sz="4" w:space="4" w:color="auto"/>
          <w:bottom w:val="single" w:sz="4" w:space="1" w:color="auto"/>
          <w:right w:val="single" w:sz="4" w:space="4" w:color="auto"/>
        </w:pBdr>
        <w:spacing w:after="0" w:line="240" w:lineRule="auto"/>
        <w:ind w:left="90"/>
        <w:jc w:val="center"/>
        <w:rPr>
          <w:rFonts w:ascii="Calibri Light" w:hAnsi="Calibri Light" w:cs="Arial"/>
          <w:b/>
          <w:sz w:val="24"/>
          <w:szCs w:val="24"/>
          <w:lang w:val="es-ES_tradnl"/>
        </w:rPr>
      </w:pPr>
      <w:r w:rsidRPr="009863F2">
        <w:rPr>
          <w:rFonts w:ascii="Calibri Light" w:hAnsi="Calibri Light" w:cs="Arial"/>
          <w:b/>
          <w:sz w:val="24"/>
          <w:szCs w:val="24"/>
          <w:lang w:val="es-ES"/>
        </w:rPr>
        <w:t xml:space="preserve">La </w:t>
      </w:r>
      <w:r w:rsidR="00BC6E70" w:rsidRPr="009863F2">
        <w:rPr>
          <w:rFonts w:ascii="Calibri Light" w:hAnsi="Calibri Light" w:cs="Arial"/>
          <w:b/>
          <w:sz w:val="24"/>
          <w:szCs w:val="24"/>
          <w:lang w:val="es-ES_tradnl"/>
        </w:rPr>
        <w:t>Sociedad Hipotecaria Federal</w:t>
      </w:r>
    </w:p>
    <w:p w14:paraId="1624DE85" w14:textId="393B6B99" w:rsidR="00BC6E70" w:rsidRPr="009863F2" w:rsidRDefault="00BC6E70" w:rsidP="009863F2">
      <w:pPr>
        <w:pBdr>
          <w:top w:val="single" w:sz="4" w:space="1"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_tradnl"/>
        </w:rPr>
      </w:pPr>
      <w:r w:rsidRPr="009863F2">
        <w:rPr>
          <w:rFonts w:ascii="Calibri Light" w:hAnsi="Calibri Light" w:cs="Arial"/>
          <w:sz w:val="24"/>
          <w:szCs w:val="24"/>
          <w:lang w:val="es-ES_tradnl"/>
        </w:rPr>
        <w:t>La</w:t>
      </w:r>
      <w:r w:rsidR="00695BCD" w:rsidRPr="009863F2">
        <w:rPr>
          <w:rFonts w:ascii="Calibri Light" w:hAnsi="Calibri Light" w:cs="Arial"/>
          <w:sz w:val="24"/>
          <w:szCs w:val="24"/>
          <w:lang w:val="es-ES_tradnl"/>
        </w:rPr>
        <w:t xml:space="preserve"> Sociedad Hipotecaria Federal</w:t>
      </w:r>
      <w:r w:rsidRPr="009863F2">
        <w:rPr>
          <w:rFonts w:ascii="Calibri Light" w:hAnsi="Calibri Light" w:cs="Arial"/>
          <w:sz w:val="24"/>
          <w:szCs w:val="24"/>
          <w:lang w:val="es-ES_tradnl"/>
        </w:rPr>
        <w:t xml:space="preserve"> </w:t>
      </w:r>
      <w:r w:rsidR="00695BCD" w:rsidRPr="009863F2">
        <w:rPr>
          <w:rFonts w:ascii="Calibri Light" w:hAnsi="Calibri Light" w:cs="Arial"/>
          <w:sz w:val="24"/>
          <w:szCs w:val="24"/>
          <w:lang w:val="es-ES_tradnl"/>
        </w:rPr>
        <w:t>(</w:t>
      </w:r>
      <w:r w:rsidRPr="009863F2">
        <w:rPr>
          <w:rFonts w:ascii="Calibri Light" w:hAnsi="Calibri Light" w:cs="Arial"/>
          <w:sz w:val="24"/>
          <w:szCs w:val="24"/>
          <w:lang w:val="es-ES_tradnl"/>
        </w:rPr>
        <w:t>SHF</w:t>
      </w:r>
      <w:r w:rsidR="00695BCD"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es un banco de desarrollo </w:t>
      </w:r>
      <w:r w:rsidR="00CD44B9" w:rsidRPr="009863F2">
        <w:rPr>
          <w:rFonts w:ascii="Calibri Light" w:hAnsi="Calibri Light" w:cs="Arial"/>
          <w:sz w:val="24"/>
          <w:szCs w:val="24"/>
          <w:lang w:val="es-ES_tradnl"/>
        </w:rPr>
        <w:t xml:space="preserve">de </w:t>
      </w:r>
      <w:r w:rsidRPr="009863F2">
        <w:rPr>
          <w:rFonts w:ascii="Calibri Light" w:hAnsi="Calibri Light" w:cs="Arial"/>
          <w:sz w:val="24"/>
          <w:szCs w:val="24"/>
          <w:lang w:val="es-ES_tradnl"/>
        </w:rPr>
        <w:t>México que ha canalizado préstamos a mediano plazo (dos a tres años) para desarrolladores de vivienda para la edificación de conjuntos habitacionales, equipamiento comercial y mejoramiento de grupos de vivienda</w:t>
      </w:r>
      <w:r w:rsidR="00CD44B9" w:rsidRPr="009863F2">
        <w:rPr>
          <w:rFonts w:ascii="Calibri Light" w:hAnsi="Calibri Light" w:cs="Arial"/>
          <w:sz w:val="24"/>
          <w:szCs w:val="24"/>
          <w:lang w:val="es-ES_tradnl"/>
        </w:rPr>
        <w:t>s</w:t>
      </w:r>
      <w:r w:rsidRPr="009863F2">
        <w:rPr>
          <w:rFonts w:ascii="Calibri Light" w:hAnsi="Calibri Light" w:cs="Arial"/>
          <w:sz w:val="24"/>
          <w:szCs w:val="24"/>
          <w:lang w:val="es-ES_tradnl"/>
        </w:rPr>
        <w:t>. Los fondos de la SHF financian entre el 25% y</w:t>
      </w:r>
      <w:r w:rsidR="00CD44B9" w:rsidRPr="009863F2">
        <w:rPr>
          <w:rFonts w:ascii="Calibri Light" w:hAnsi="Calibri Light" w:cs="Arial"/>
          <w:sz w:val="24"/>
          <w:szCs w:val="24"/>
          <w:lang w:val="es-ES_tradnl"/>
        </w:rPr>
        <w:t xml:space="preserve"> el</w:t>
      </w:r>
      <w:r w:rsidRPr="009863F2">
        <w:rPr>
          <w:rFonts w:ascii="Calibri Light" w:hAnsi="Calibri Light" w:cs="Arial"/>
          <w:sz w:val="24"/>
          <w:szCs w:val="24"/>
          <w:lang w:val="es-ES_tradnl"/>
        </w:rPr>
        <w:t xml:space="preserve"> 30% del valor de cada proyecto, mientras que el desarrollador financia la diferencia a través del aporte del terreno (hasta un 20% del valor del proyecto) y</w:t>
      </w:r>
      <w:r w:rsidR="00CD44B9" w:rsidRPr="009863F2">
        <w:rPr>
          <w:rFonts w:ascii="Calibri Light" w:hAnsi="Calibri Light" w:cs="Arial"/>
          <w:sz w:val="24"/>
          <w:szCs w:val="24"/>
          <w:lang w:val="es-ES_tradnl"/>
        </w:rPr>
        <w:t xml:space="preserve"> maneja</w:t>
      </w:r>
      <w:r w:rsidRPr="009863F2">
        <w:rPr>
          <w:rFonts w:ascii="Calibri Light" w:hAnsi="Calibri Light" w:cs="Arial"/>
          <w:sz w:val="24"/>
          <w:szCs w:val="24"/>
          <w:lang w:val="es-ES_tradnl"/>
        </w:rPr>
        <w:t xml:space="preserve"> los ingresos provenientes de la venta anticipada de viviendas. Asimismo, la SHF cuenta con un producto mediante el cual garantiza el pago oportuno de los desarrolladores de vivienda que obtienen préstamos de la banca comercial. Mediante dicho producto se enaltece la calidad </w:t>
      </w:r>
      <w:r w:rsidR="00CD44B9" w:rsidRPr="009863F2">
        <w:rPr>
          <w:rFonts w:ascii="Calibri Light" w:hAnsi="Calibri Light" w:cs="Arial"/>
          <w:sz w:val="24"/>
          <w:szCs w:val="24"/>
          <w:lang w:val="es-ES_tradnl"/>
        </w:rPr>
        <w:t>de la cartera de</w:t>
      </w:r>
      <w:r w:rsidRPr="009863F2">
        <w:rPr>
          <w:rFonts w:ascii="Calibri Light" w:hAnsi="Calibri Light" w:cs="Arial"/>
          <w:sz w:val="24"/>
          <w:szCs w:val="24"/>
          <w:lang w:val="es-ES_tradnl"/>
        </w:rPr>
        <w:t xml:space="preserve"> créditos de construcción que otorgan los intermediarios financieros, </w:t>
      </w:r>
      <w:r w:rsidR="00CD44B9" w:rsidRPr="009863F2">
        <w:rPr>
          <w:rFonts w:ascii="Calibri Light" w:hAnsi="Calibri Light" w:cs="Arial"/>
          <w:sz w:val="24"/>
          <w:szCs w:val="24"/>
          <w:lang w:val="es-ES_tradnl"/>
        </w:rPr>
        <w:t xml:space="preserve">y con ello se reduce </w:t>
      </w:r>
      <w:r w:rsidRPr="009863F2">
        <w:rPr>
          <w:rFonts w:ascii="Calibri Light" w:hAnsi="Calibri Light" w:cs="Arial"/>
          <w:sz w:val="24"/>
          <w:szCs w:val="24"/>
          <w:lang w:val="es-ES_tradnl"/>
        </w:rPr>
        <w:t xml:space="preserve">el riesgo crediticio </w:t>
      </w:r>
      <w:r w:rsidR="00CD44B9" w:rsidRPr="009863F2">
        <w:rPr>
          <w:rFonts w:ascii="Calibri Light" w:hAnsi="Calibri Light" w:cs="Arial"/>
          <w:sz w:val="24"/>
          <w:szCs w:val="24"/>
          <w:lang w:val="es-ES_tradnl"/>
        </w:rPr>
        <w:t>y se incentiva</w:t>
      </w:r>
      <w:r w:rsidRPr="009863F2">
        <w:rPr>
          <w:rFonts w:ascii="Calibri Light" w:hAnsi="Calibri Light" w:cs="Arial"/>
          <w:sz w:val="24"/>
          <w:szCs w:val="24"/>
          <w:lang w:val="es-ES_tradnl"/>
        </w:rPr>
        <w:t xml:space="preserve"> el crédito en el sector.</w:t>
      </w:r>
    </w:p>
    <w:p w14:paraId="463C39AC" w14:textId="77777777" w:rsidR="00AB6E92" w:rsidRDefault="00AB6E92" w:rsidP="00AB6E92">
      <w:pPr>
        <w:pStyle w:val="Heading2"/>
        <w:spacing w:before="0" w:line="240" w:lineRule="auto"/>
        <w:ind w:left="792"/>
        <w:rPr>
          <w:rFonts w:ascii="Calibri Light" w:hAnsi="Calibri Light" w:cs="Arial"/>
          <w:szCs w:val="24"/>
          <w:lang w:val="es-ES_tradnl"/>
        </w:rPr>
      </w:pPr>
      <w:bookmarkStart w:id="14" w:name="_Toc477773139"/>
    </w:p>
    <w:p w14:paraId="1F794399" w14:textId="2641D2AF" w:rsidR="00BC6E70" w:rsidRPr="009863F2" w:rsidRDefault="00BC6E70" w:rsidP="009863F2">
      <w:pPr>
        <w:pStyle w:val="Heading2"/>
        <w:numPr>
          <w:ilvl w:val="1"/>
          <w:numId w:val="1"/>
        </w:numPr>
        <w:spacing w:before="0" w:line="240" w:lineRule="auto"/>
        <w:rPr>
          <w:rFonts w:ascii="Calibri Light" w:hAnsi="Calibri Light" w:cs="Arial"/>
          <w:szCs w:val="24"/>
          <w:lang w:val="es-ES_tradnl"/>
        </w:rPr>
      </w:pPr>
      <w:bookmarkStart w:id="15" w:name="_Toc504406836"/>
      <w:r w:rsidRPr="009863F2">
        <w:rPr>
          <w:rFonts w:ascii="Calibri Light" w:hAnsi="Calibri Light" w:cs="Arial"/>
          <w:szCs w:val="24"/>
          <w:lang w:val="es-ES_tradnl"/>
        </w:rPr>
        <w:t xml:space="preserve">Cambio climático: </w:t>
      </w:r>
      <w:r w:rsidR="00CD44B9" w:rsidRPr="009863F2">
        <w:rPr>
          <w:rFonts w:ascii="Calibri Light" w:hAnsi="Calibri Light" w:cs="Arial"/>
          <w:szCs w:val="24"/>
          <w:lang w:val="es-ES_tradnl"/>
        </w:rPr>
        <w:t>f</w:t>
      </w:r>
      <w:r w:rsidRPr="009863F2">
        <w:rPr>
          <w:rFonts w:ascii="Calibri Light" w:hAnsi="Calibri Light" w:cs="Arial"/>
          <w:szCs w:val="24"/>
          <w:lang w:val="es-ES_tradnl"/>
        </w:rPr>
        <w:t>inanciamiento para promover vivienda verde</w:t>
      </w:r>
      <w:bookmarkEnd w:id="14"/>
      <w:bookmarkEnd w:id="15"/>
    </w:p>
    <w:p w14:paraId="0A230FAA" w14:textId="77777777" w:rsidR="00EF0942" w:rsidRPr="009863F2" w:rsidRDefault="00EF0942" w:rsidP="009863F2">
      <w:pPr>
        <w:pStyle w:val="Heading3"/>
        <w:spacing w:line="240" w:lineRule="auto"/>
        <w:rPr>
          <w:rFonts w:ascii="Calibri Light" w:hAnsi="Calibri Light" w:cs="Arial"/>
          <w:sz w:val="24"/>
          <w:szCs w:val="24"/>
          <w:lang w:val="es-ES"/>
        </w:rPr>
      </w:pPr>
    </w:p>
    <w:p w14:paraId="7E1CA061" w14:textId="77777777"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Contexto general</w:t>
      </w:r>
    </w:p>
    <w:p w14:paraId="2B41AF36" w14:textId="1DFBE4C3" w:rsidR="005324CD" w:rsidRPr="009863F2" w:rsidRDefault="005324CD"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La inminencia del cambio climático y </w:t>
      </w:r>
      <w:r w:rsidR="00CD44B9" w:rsidRPr="009863F2">
        <w:rPr>
          <w:rFonts w:ascii="Calibri Light" w:hAnsi="Calibri Light" w:cs="Arial"/>
          <w:sz w:val="24"/>
          <w:szCs w:val="24"/>
          <w:lang w:val="es-ES"/>
        </w:rPr>
        <w:t xml:space="preserve">de </w:t>
      </w:r>
      <w:r w:rsidRPr="009863F2">
        <w:rPr>
          <w:rFonts w:ascii="Calibri Light" w:hAnsi="Calibri Light" w:cs="Arial"/>
          <w:sz w:val="24"/>
          <w:szCs w:val="24"/>
          <w:lang w:val="es-ES"/>
        </w:rPr>
        <w:t xml:space="preserve">sus efectos ha obligado a revisar los modelos de las distintas industrias a nivel global. </w:t>
      </w:r>
      <w:r w:rsidR="00CD44B9" w:rsidRPr="009863F2">
        <w:rPr>
          <w:rFonts w:ascii="Calibri Light" w:hAnsi="Calibri Light" w:cs="Arial"/>
          <w:sz w:val="24"/>
          <w:szCs w:val="24"/>
          <w:lang w:val="es-ES"/>
        </w:rPr>
        <w:t>Así, se observa que en todo el mundo</w:t>
      </w:r>
      <w:r w:rsidRPr="009863F2">
        <w:rPr>
          <w:rFonts w:ascii="Calibri Light" w:hAnsi="Calibri Light" w:cs="Arial"/>
          <w:sz w:val="24"/>
          <w:szCs w:val="24"/>
          <w:lang w:val="es-ES"/>
        </w:rPr>
        <w:t xml:space="preserve"> la construcción inmobiliaria es responsable del 32% del consumo total de energía</w:t>
      </w:r>
      <w:r w:rsidRPr="009863F2">
        <w:rPr>
          <w:rStyle w:val="FootnoteReference"/>
          <w:rFonts w:ascii="Calibri Light" w:hAnsi="Calibri Light" w:cs="Arial"/>
          <w:sz w:val="24"/>
          <w:szCs w:val="24"/>
          <w:lang w:val="es-ES"/>
        </w:rPr>
        <w:footnoteReference w:id="14"/>
      </w:r>
      <w:r w:rsidRPr="009863F2">
        <w:rPr>
          <w:rFonts w:ascii="Calibri Light" w:hAnsi="Calibri Light" w:cs="Arial"/>
          <w:sz w:val="24"/>
          <w:szCs w:val="24"/>
          <w:lang w:val="es-ES"/>
        </w:rPr>
        <w:t xml:space="preserve"> y del 19% de las emisiones de gases de efecto invernadero</w:t>
      </w:r>
      <w:r w:rsidR="00CD44B9" w:rsidRPr="009863F2">
        <w:rPr>
          <w:rFonts w:ascii="Calibri Light" w:hAnsi="Calibri Light" w:cs="Arial"/>
          <w:sz w:val="24"/>
          <w:szCs w:val="24"/>
          <w:lang w:val="es-ES"/>
        </w:rPr>
        <w:t xml:space="preserve"> (GEI)</w:t>
      </w:r>
      <w:r w:rsidRPr="009863F2">
        <w:rPr>
          <w:rStyle w:val="FootnoteReference"/>
          <w:rFonts w:ascii="Calibri Light" w:hAnsi="Calibri Light" w:cs="Arial"/>
          <w:sz w:val="24"/>
          <w:szCs w:val="24"/>
          <w:lang w:val="es-ES"/>
        </w:rPr>
        <w:footnoteReference w:id="15"/>
      </w:r>
      <w:r w:rsidRPr="009863F2">
        <w:rPr>
          <w:rFonts w:ascii="Calibri Light" w:hAnsi="Calibri Light" w:cs="Arial"/>
          <w:sz w:val="24"/>
          <w:szCs w:val="24"/>
          <w:lang w:val="es-ES"/>
        </w:rPr>
        <w:t xml:space="preserve">. Asimismo, el sector residencial es responsable por el 17% del total de las emisiones. </w:t>
      </w:r>
      <w:r w:rsidR="00CD44B9" w:rsidRPr="009863F2">
        <w:rPr>
          <w:rFonts w:ascii="Calibri Light" w:hAnsi="Calibri Light" w:cs="Arial"/>
          <w:sz w:val="24"/>
          <w:szCs w:val="24"/>
          <w:lang w:val="es-ES"/>
        </w:rPr>
        <w:t xml:space="preserve">En América Latina </w:t>
      </w:r>
      <w:r w:rsidRPr="009863F2">
        <w:rPr>
          <w:rFonts w:ascii="Calibri Light" w:hAnsi="Calibri Light" w:cs="Arial"/>
          <w:sz w:val="24"/>
          <w:szCs w:val="24"/>
          <w:lang w:val="es-ES"/>
        </w:rPr>
        <w:t>y el Caribe, el sector residencial es responsable del 7% del total de las emisiones en la región</w:t>
      </w:r>
      <w:r w:rsidRPr="009863F2">
        <w:rPr>
          <w:rStyle w:val="FootnoteReference"/>
          <w:rFonts w:ascii="Calibri Light" w:hAnsi="Calibri Light" w:cs="Arial"/>
          <w:sz w:val="24"/>
          <w:szCs w:val="24"/>
          <w:lang w:val="es-ES"/>
        </w:rPr>
        <w:footnoteReference w:id="16"/>
      </w:r>
      <w:r w:rsidRPr="009863F2">
        <w:rPr>
          <w:rFonts w:ascii="Calibri Light" w:hAnsi="Calibri Light" w:cs="Arial"/>
          <w:sz w:val="24"/>
          <w:szCs w:val="24"/>
          <w:lang w:val="es-ES"/>
        </w:rPr>
        <w:t xml:space="preserve"> y consume el 16% de toda la energía</w:t>
      </w:r>
      <w:r w:rsidRPr="009863F2">
        <w:rPr>
          <w:rStyle w:val="FootnoteReference"/>
          <w:rFonts w:ascii="Calibri Light" w:hAnsi="Calibri Light" w:cs="Arial"/>
          <w:sz w:val="24"/>
          <w:szCs w:val="24"/>
          <w:lang w:val="es-ES"/>
        </w:rPr>
        <w:footnoteReference w:id="17"/>
      </w:r>
      <w:r w:rsidRPr="009863F2">
        <w:rPr>
          <w:rFonts w:ascii="Calibri Light" w:hAnsi="Calibri Light" w:cs="Arial"/>
          <w:sz w:val="24"/>
          <w:szCs w:val="24"/>
          <w:lang w:val="es-ES"/>
        </w:rPr>
        <w:t>.</w:t>
      </w:r>
    </w:p>
    <w:p w14:paraId="373DD341" w14:textId="77777777" w:rsidR="00AB6E92" w:rsidRDefault="00AB6E92" w:rsidP="009863F2">
      <w:pPr>
        <w:spacing w:after="0" w:line="240" w:lineRule="auto"/>
        <w:jc w:val="both"/>
        <w:rPr>
          <w:rFonts w:ascii="Calibri Light" w:hAnsi="Calibri Light" w:cs="Arial"/>
          <w:sz w:val="24"/>
          <w:szCs w:val="24"/>
          <w:lang w:val="es-ES"/>
        </w:rPr>
      </w:pPr>
    </w:p>
    <w:p w14:paraId="11EB7BC5" w14:textId="101CADA2" w:rsidR="005324CD" w:rsidRPr="009863F2" w:rsidRDefault="005324CD"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En los últimos años ha venido consolidándose un modelo de construcción verde que no es visto únicamente como algo útil a la hora de hacer frente a una amplia diversidad de desafíos ambientales, sino también como un factor esencial para </w:t>
      </w:r>
      <w:r w:rsidR="00CD44B9" w:rsidRPr="009863F2">
        <w:rPr>
          <w:rFonts w:ascii="Calibri Light" w:hAnsi="Calibri Light" w:cs="Arial"/>
          <w:sz w:val="24"/>
          <w:szCs w:val="24"/>
          <w:lang w:val="es-ES"/>
        </w:rPr>
        <w:t>mitigar el</w:t>
      </w:r>
      <w:r w:rsidRPr="009863F2">
        <w:rPr>
          <w:rFonts w:ascii="Calibri Light" w:hAnsi="Calibri Light" w:cs="Arial"/>
          <w:sz w:val="24"/>
          <w:szCs w:val="24"/>
          <w:lang w:val="es-ES"/>
        </w:rPr>
        <w:t xml:space="preserve"> cambio climático y </w:t>
      </w:r>
      <w:r w:rsidR="00CD44B9" w:rsidRPr="009863F2">
        <w:rPr>
          <w:rFonts w:ascii="Calibri Light" w:hAnsi="Calibri Light" w:cs="Arial"/>
          <w:sz w:val="24"/>
          <w:szCs w:val="24"/>
          <w:lang w:val="es-ES"/>
        </w:rPr>
        <w:t>lograr la adaptación</w:t>
      </w:r>
      <w:r w:rsidRPr="009863F2">
        <w:rPr>
          <w:rFonts w:ascii="Calibri Light" w:hAnsi="Calibri Light" w:cs="Arial"/>
          <w:sz w:val="24"/>
          <w:szCs w:val="24"/>
          <w:lang w:val="es-ES"/>
        </w:rPr>
        <w:t xml:space="preserve"> al mismo en particular. La </w:t>
      </w:r>
      <w:r w:rsidRPr="009863F2">
        <w:rPr>
          <w:rFonts w:ascii="Calibri Light" w:hAnsi="Calibri Light" w:cs="Arial"/>
          <w:i/>
          <w:sz w:val="24"/>
          <w:szCs w:val="24"/>
          <w:lang w:val="es-ES"/>
        </w:rPr>
        <w:t>mitigación</w:t>
      </w:r>
      <w:r w:rsidRPr="009863F2">
        <w:rPr>
          <w:rFonts w:ascii="Calibri Light" w:hAnsi="Calibri Light" w:cs="Arial"/>
          <w:sz w:val="24"/>
          <w:szCs w:val="24"/>
          <w:lang w:val="es-ES"/>
        </w:rPr>
        <w:t xml:space="preserve"> supone la reducción directa del consumo de energía de los edificios, que contribuye directamente a las emisiones de GEI. Del mismo modo, la mitigación también implica que la ubicación de las edificaciones minimice la demanda de transporte. </w:t>
      </w:r>
    </w:p>
    <w:p w14:paraId="2829259A" w14:textId="77777777" w:rsidR="00AB6E92" w:rsidRDefault="00AB6E92" w:rsidP="009863F2">
      <w:pPr>
        <w:spacing w:after="0" w:line="240" w:lineRule="auto"/>
        <w:jc w:val="both"/>
        <w:rPr>
          <w:rFonts w:ascii="Calibri Light" w:hAnsi="Calibri Light" w:cs="Arial"/>
          <w:sz w:val="24"/>
          <w:szCs w:val="24"/>
          <w:lang w:val="es-ES"/>
        </w:rPr>
      </w:pPr>
    </w:p>
    <w:p w14:paraId="11F7DD2E" w14:textId="7A0B8CE5" w:rsidR="005324CD" w:rsidRPr="009863F2" w:rsidRDefault="005324CD"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Dado que la construcción y el desarrollo urbanístico son también vulnerables a los efectos del cambio climático, se debe de considerar también la posibilidad de adaptarlos para minimizar su deterioro. La </w:t>
      </w:r>
      <w:r w:rsidRPr="009863F2">
        <w:rPr>
          <w:rFonts w:ascii="Calibri Light" w:hAnsi="Calibri Light" w:cs="Arial"/>
          <w:i/>
          <w:sz w:val="24"/>
          <w:szCs w:val="24"/>
          <w:lang w:val="es-ES"/>
        </w:rPr>
        <w:t>adaptación</w:t>
      </w:r>
      <w:r w:rsidRPr="009863F2">
        <w:rPr>
          <w:rFonts w:ascii="Calibri Light" w:hAnsi="Calibri Light" w:cs="Arial"/>
          <w:sz w:val="24"/>
          <w:szCs w:val="24"/>
          <w:lang w:val="es-ES"/>
        </w:rPr>
        <w:t xml:space="preserve"> puede consistir en </w:t>
      </w:r>
      <w:r w:rsidR="00CD44B9" w:rsidRPr="009863F2">
        <w:rPr>
          <w:rFonts w:ascii="Calibri Light" w:hAnsi="Calibri Light" w:cs="Arial"/>
          <w:sz w:val="24"/>
          <w:szCs w:val="24"/>
          <w:lang w:val="es-ES"/>
        </w:rPr>
        <w:t>seleccionar</w:t>
      </w:r>
      <w:r w:rsidRPr="009863F2">
        <w:rPr>
          <w:rFonts w:ascii="Calibri Light" w:hAnsi="Calibri Light" w:cs="Arial"/>
          <w:sz w:val="24"/>
          <w:szCs w:val="24"/>
          <w:lang w:val="es-ES"/>
        </w:rPr>
        <w:t xml:space="preserve"> materiales de construcción y diseños que reduzcan los daños provocados por inundaciones, sequías o tormentas. Tales acciones de planificación y diseño constituyen técnicas de desarrollo “resilientes” que hacen frente al desafío de la adaptación al cambio climático (</w:t>
      </w:r>
      <w:r w:rsidR="00680AC7" w:rsidRPr="009863F2">
        <w:rPr>
          <w:rFonts w:ascii="Calibri Light" w:hAnsi="Calibri Light" w:cs="Arial"/>
          <w:sz w:val="24"/>
          <w:szCs w:val="24"/>
          <w:lang w:val="es-ES"/>
        </w:rPr>
        <w:t>Martin</w:t>
      </w:r>
      <w:r w:rsidR="00CD44B9" w:rsidRPr="009863F2">
        <w:rPr>
          <w:rFonts w:ascii="Calibri Light" w:hAnsi="Calibri Light" w:cs="Arial"/>
          <w:sz w:val="24"/>
          <w:szCs w:val="24"/>
          <w:lang w:val="es-ES"/>
        </w:rPr>
        <w:t xml:space="preserve"> et al.</w:t>
      </w:r>
      <w:r w:rsidRPr="009863F2">
        <w:rPr>
          <w:rFonts w:ascii="Calibri Light" w:hAnsi="Calibri Light" w:cs="Arial"/>
          <w:sz w:val="24"/>
          <w:szCs w:val="24"/>
          <w:lang w:val="es-ES"/>
        </w:rPr>
        <w:t>, 2013).</w:t>
      </w:r>
    </w:p>
    <w:p w14:paraId="19A3B29D" w14:textId="77777777" w:rsidR="00AB6E92" w:rsidRDefault="00AB6E92" w:rsidP="009863F2">
      <w:pPr>
        <w:spacing w:after="0" w:line="240" w:lineRule="auto"/>
        <w:jc w:val="both"/>
        <w:rPr>
          <w:rFonts w:ascii="Calibri Light" w:hAnsi="Calibri Light" w:cs="Arial"/>
          <w:sz w:val="24"/>
          <w:szCs w:val="24"/>
          <w:lang w:val="es-ES"/>
        </w:rPr>
      </w:pPr>
    </w:p>
    <w:p w14:paraId="6CECF26B" w14:textId="02BCA21C" w:rsidR="005775CD" w:rsidRPr="009863F2" w:rsidRDefault="005324CD"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lastRenderedPageBreak/>
        <w:t>Cabe mencionar</w:t>
      </w:r>
      <w:r w:rsidR="005775CD" w:rsidRPr="009863F2">
        <w:rPr>
          <w:rFonts w:ascii="Calibri Light" w:hAnsi="Calibri Light" w:cs="Arial"/>
          <w:sz w:val="24"/>
          <w:szCs w:val="24"/>
          <w:lang w:val="es-ES"/>
        </w:rPr>
        <w:t xml:space="preserve"> </w:t>
      </w:r>
      <w:r w:rsidR="00CD44B9" w:rsidRPr="009863F2">
        <w:rPr>
          <w:rFonts w:ascii="Calibri Light" w:hAnsi="Calibri Light" w:cs="Arial"/>
          <w:sz w:val="24"/>
          <w:szCs w:val="24"/>
          <w:lang w:val="es-ES"/>
        </w:rPr>
        <w:t xml:space="preserve">que </w:t>
      </w:r>
      <w:r w:rsidR="005775CD" w:rsidRPr="009863F2">
        <w:rPr>
          <w:rFonts w:ascii="Calibri Light" w:hAnsi="Calibri Light" w:cs="Arial"/>
          <w:sz w:val="24"/>
          <w:szCs w:val="24"/>
          <w:lang w:val="es-ES"/>
        </w:rPr>
        <w:t>el tema de</w:t>
      </w:r>
      <w:r w:rsidR="00CD44B9" w:rsidRPr="009863F2">
        <w:rPr>
          <w:rFonts w:ascii="Calibri Light" w:hAnsi="Calibri Light" w:cs="Arial"/>
          <w:sz w:val="24"/>
          <w:szCs w:val="24"/>
          <w:lang w:val="es-ES"/>
        </w:rPr>
        <w:t>l</w:t>
      </w:r>
      <w:r w:rsidR="005775CD" w:rsidRPr="009863F2">
        <w:rPr>
          <w:rFonts w:ascii="Calibri Light" w:hAnsi="Calibri Light" w:cs="Arial"/>
          <w:sz w:val="24"/>
          <w:szCs w:val="24"/>
          <w:lang w:val="es-ES"/>
        </w:rPr>
        <w:t xml:space="preserve"> cambio climático y el financiamiento de las acciones de mitigación y adaptación no puede</w:t>
      </w:r>
      <w:r w:rsidR="00CD44B9" w:rsidRPr="009863F2">
        <w:rPr>
          <w:rFonts w:ascii="Calibri Light" w:hAnsi="Calibri Light" w:cs="Arial"/>
          <w:sz w:val="24"/>
          <w:szCs w:val="24"/>
          <w:lang w:val="es-ES"/>
        </w:rPr>
        <w:t>n</w:t>
      </w:r>
      <w:r w:rsidR="005775CD" w:rsidRPr="009863F2">
        <w:rPr>
          <w:rFonts w:ascii="Calibri Light" w:hAnsi="Calibri Light" w:cs="Arial"/>
          <w:sz w:val="24"/>
          <w:szCs w:val="24"/>
          <w:lang w:val="es-ES"/>
        </w:rPr>
        <w:t xml:space="preserve"> evaluarse s</w:t>
      </w:r>
      <w:r w:rsidR="00CD44B9" w:rsidRPr="009863F2">
        <w:rPr>
          <w:rFonts w:ascii="Calibri Light" w:hAnsi="Calibri Light" w:cs="Arial"/>
          <w:sz w:val="24"/>
          <w:szCs w:val="24"/>
          <w:lang w:val="es-ES"/>
        </w:rPr>
        <w:t>o</w:t>
      </w:r>
      <w:r w:rsidR="005775CD" w:rsidRPr="009863F2">
        <w:rPr>
          <w:rFonts w:ascii="Calibri Light" w:hAnsi="Calibri Light" w:cs="Arial"/>
          <w:sz w:val="24"/>
          <w:szCs w:val="24"/>
          <w:lang w:val="es-ES"/>
        </w:rPr>
        <w:t xml:space="preserve">lo en el contexto local sino </w:t>
      </w:r>
      <w:r w:rsidR="00CD44B9" w:rsidRPr="009863F2">
        <w:rPr>
          <w:rFonts w:ascii="Calibri Light" w:hAnsi="Calibri Light" w:cs="Arial"/>
          <w:sz w:val="24"/>
          <w:szCs w:val="24"/>
          <w:lang w:val="es-ES"/>
        </w:rPr>
        <w:t xml:space="preserve">que debe hacérselo también </w:t>
      </w:r>
      <w:r w:rsidR="005775CD" w:rsidRPr="009863F2">
        <w:rPr>
          <w:rFonts w:ascii="Calibri Light" w:hAnsi="Calibri Light" w:cs="Arial"/>
          <w:sz w:val="24"/>
          <w:szCs w:val="24"/>
          <w:lang w:val="es-ES"/>
        </w:rPr>
        <w:t>en el marco de los acuerdos alcanzados y comprometidos en diversas instancias internacionales relacionadas con este tema</w:t>
      </w:r>
      <w:r w:rsidR="00CD44B9" w:rsidRPr="009863F2">
        <w:rPr>
          <w:rFonts w:ascii="Calibri Light" w:hAnsi="Calibri Light" w:cs="Arial"/>
          <w:sz w:val="24"/>
          <w:szCs w:val="24"/>
          <w:lang w:val="es-ES"/>
        </w:rPr>
        <w:t>.</w:t>
      </w:r>
      <w:r w:rsidR="005775CD" w:rsidRPr="009863F2">
        <w:rPr>
          <w:rStyle w:val="FootnoteReference"/>
          <w:rFonts w:ascii="Calibri Light" w:hAnsi="Calibri Light" w:cs="Arial"/>
          <w:sz w:val="24"/>
          <w:szCs w:val="24"/>
          <w:lang w:val="es-ES"/>
        </w:rPr>
        <w:footnoteReference w:id="18"/>
      </w:r>
    </w:p>
    <w:p w14:paraId="591CE25D" w14:textId="77777777" w:rsidR="005775CD" w:rsidRPr="009863F2" w:rsidRDefault="005775CD" w:rsidP="009863F2">
      <w:pPr>
        <w:pStyle w:val="Heading3"/>
        <w:spacing w:line="240" w:lineRule="auto"/>
        <w:rPr>
          <w:rFonts w:ascii="Calibri Light" w:hAnsi="Calibri Light" w:cs="Arial"/>
          <w:sz w:val="24"/>
          <w:szCs w:val="24"/>
          <w:lang w:val="es-ES"/>
        </w:rPr>
      </w:pPr>
    </w:p>
    <w:p w14:paraId="4424EE6A" w14:textId="14F9B43E" w:rsidR="00BC6E70" w:rsidRPr="009863F2" w:rsidRDefault="00CD44B9"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La p</w:t>
      </w:r>
      <w:r w:rsidR="00BC6E70" w:rsidRPr="009863F2">
        <w:rPr>
          <w:rFonts w:ascii="Calibri Light" w:hAnsi="Calibri Light" w:cs="Arial"/>
          <w:b/>
          <w:i/>
          <w:sz w:val="24"/>
          <w:szCs w:val="24"/>
          <w:lang w:val="es-ES_tradnl"/>
        </w:rPr>
        <w:t>roblemática del financiamiento</w:t>
      </w:r>
    </w:p>
    <w:p w14:paraId="57DB302C" w14:textId="37497C25" w:rsidR="00BC6E70" w:rsidRPr="009863F2" w:rsidRDefault="00BC6E70" w:rsidP="009863F2">
      <w:pPr>
        <w:spacing w:after="0" w:line="240" w:lineRule="auto"/>
        <w:jc w:val="both"/>
        <w:rPr>
          <w:rFonts w:ascii="Calibri Light" w:hAnsi="Calibri Light" w:cs="Arial"/>
          <w:sz w:val="24"/>
          <w:szCs w:val="24"/>
          <w:lang w:val="es-ES"/>
        </w:rPr>
      </w:pPr>
      <w:bookmarkStart w:id="16" w:name="_Hlk504406074"/>
      <w:r w:rsidRPr="009863F2">
        <w:rPr>
          <w:rFonts w:ascii="Calibri Light" w:hAnsi="Calibri Light" w:cs="Arial"/>
          <w:sz w:val="24"/>
          <w:szCs w:val="24"/>
          <w:lang w:val="es-ES"/>
        </w:rPr>
        <w:t xml:space="preserve">Si bien la construcción de viviendas sostenibles y resilientes puede generar ahorros en su mantenimiento, generalmente los costos asociados a su desarrollo son mayores </w:t>
      </w:r>
      <w:r w:rsidR="00E17EC5" w:rsidRPr="009863F2">
        <w:rPr>
          <w:rFonts w:ascii="Calibri Light" w:hAnsi="Calibri Light" w:cs="Arial"/>
          <w:sz w:val="24"/>
          <w:szCs w:val="24"/>
          <w:lang w:val="es-ES"/>
        </w:rPr>
        <w:t xml:space="preserve">que los que implica </w:t>
      </w:r>
      <w:r w:rsidRPr="009863F2">
        <w:rPr>
          <w:rFonts w:ascii="Calibri Light" w:hAnsi="Calibri Light" w:cs="Arial"/>
          <w:sz w:val="24"/>
          <w:szCs w:val="24"/>
          <w:lang w:val="es-ES"/>
        </w:rPr>
        <w:t xml:space="preserve">el modelo tradicional, ya sea por el precio de los materiales o por la inversión inicial </w:t>
      </w:r>
      <w:r w:rsidR="00E17EC5" w:rsidRPr="009863F2">
        <w:rPr>
          <w:rFonts w:ascii="Calibri Light" w:hAnsi="Calibri Light" w:cs="Arial"/>
          <w:sz w:val="24"/>
          <w:szCs w:val="24"/>
          <w:lang w:val="es-ES"/>
        </w:rPr>
        <w:t xml:space="preserve">que se requiere </w:t>
      </w:r>
      <w:r w:rsidRPr="009863F2">
        <w:rPr>
          <w:rFonts w:ascii="Calibri Light" w:hAnsi="Calibri Light" w:cs="Arial"/>
          <w:sz w:val="24"/>
          <w:szCs w:val="24"/>
          <w:lang w:val="es-ES"/>
        </w:rPr>
        <w:t xml:space="preserve">para </w:t>
      </w:r>
      <w:r w:rsidR="00E17EC5" w:rsidRPr="009863F2">
        <w:rPr>
          <w:rFonts w:ascii="Calibri Light" w:hAnsi="Calibri Light" w:cs="Arial"/>
          <w:sz w:val="24"/>
          <w:szCs w:val="24"/>
          <w:lang w:val="es-ES"/>
        </w:rPr>
        <w:t xml:space="preserve">poner en marcha </w:t>
      </w:r>
      <w:r w:rsidRPr="009863F2">
        <w:rPr>
          <w:rFonts w:ascii="Calibri Light" w:hAnsi="Calibri Light" w:cs="Arial"/>
          <w:sz w:val="24"/>
          <w:szCs w:val="24"/>
          <w:lang w:val="es-ES"/>
        </w:rPr>
        <w:t xml:space="preserve">o adaptar la tecnología. En este sentido, resulta clave contar con la intervención estatal tanto </w:t>
      </w:r>
      <w:r w:rsidR="00E17EC5" w:rsidRPr="009863F2">
        <w:rPr>
          <w:rFonts w:ascii="Calibri Light" w:hAnsi="Calibri Light" w:cs="Arial"/>
          <w:sz w:val="24"/>
          <w:szCs w:val="24"/>
          <w:lang w:val="es-ES"/>
        </w:rPr>
        <w:t>para establecer</w:t>
      </w:r>
      <w:r w:rsidRPr="009863F2">
        <w:rPr>
          <w:rFonts w:ascii="Calibri Light" w:hAnsi="Calibri Light" w:cs="Arial"/>
          <w:sz w:val="24"/>
          <w:szCs w:val="24"/>
          <w:lang w:val="es-ES"/>
        </w:rPr>
        <w:t xml:space="preserve"> políticas públicas promotoras, como </w:t>
      </w:r>
      <w:r w:rsidR="00E17EC5" w:rsidRPr="009863F2">
        <w:rPr>
          <w:rFonts w:ascii="Calibri Light" w:hAnsi="Calibri Light" w:cs="Arial"/>
          <w:sz w:val="24"/>
          <w:szCs w:val="24"/>
          <w:lang w:val="es-ES"/>
        </w:rPr>
        <w:t>para canalizar</w:t>
      </w:r>
      <w:r w:rsidR="008138A4" w:rsidRPr="009863F2">
        <w:rPr>
          <w:rFonts w:ascii="Calibri Light" w:hAnsi="Calibri Light" w:cs="Arial"/>
          <w:sz w:val="24"/>
          <w:szCs w:val="24"/>
          <w:lang w:val="es-ES"/>
        </w:rPr>
        <w:t xml:space="preserve"> </w:t>
      </w:r>
      <w:r w:rsidR="00E17EC5" w:rsidRPr="009863F2">
        <w:rPr>
          <w:rFonts w:ascii="Calibri Light" w:hAnsi="Calibri Light" w:cs="Arial"/>
          <w:sz w:val="24"/>
          <w:szCs w:val="24"/>
          <w:lang w:val="es-ES"/>
        </w:rPr>
        <w:t>el</w:t>
      </w:r>
      <w:r w:rsidRPr="009863F2">
        <w:rPr>
          <w:rFonts w:ascii="Calibri Light" w:hAnsi="Calibri Light" w:cs="Arial"/>
          <w:sz w:val="24"/>
          <w:szCs w:val="24"/>
          <w:lang w:val="es-ES"/>
        </w:rPr>
        <w:t xml:space="preserve"> creciente número de mecanismos de financiamiento internacional que están destinados a generar acciones contra el cambio climático, </w:t>
      </w:r>
      <w:r w:rsidR="00E17EC5" w:rsidRPr="009863F2">
        <w:rPr>
          <w:rFonts w:ascii="Calibri Light" w:hAnsi="Calibri Light" w:cs="Arial"/>
          <w:sz w:val="24"/>
          <w:szCs w:val="24"/>
          <w:lang w:val="es-ES"/>
        </w:rPr>
        <w:t xml:space="preserve">mediante </w:t>
      </w:r>
      <w:r w:rsidRPr="009863F2">
        <w:rPr>
          <w:rFonts w:ascii="Calibri Light" w:hAnsi="Calibri Light" w:cs="Arial"/>
          <w:sz w:val="24"/>
          <w:szCs w:val="24"/>
          <w:lang w:val="es-ES"/>
        </w:rPr>
        <w:t>fondos concesionales.</w:t>
      </w:r>
    </w:p>
    <w:p w14:paraId="1F06FF9A" w14:textId="77777777" w:rsidR="00AB6E92" w:rsidRDefault="00AB6E92" w:rsidP="009863F2">
      <w:pPr>
        <w:spacing w:after="0" w:line="240" w:lineRule="auto"/>
        <w:jc w:val="both"/>
        <w:rPr>
          <w:rFonts w:ascii="Calibri Light" w:hAnsi="Calibri Light" w:cs="Arial"/>
          <w:sz w:val="24"/>
          <w:szCs w:val="24"/>
          <w:lang w:val="es-ES"/>
        </w:rPr>
      </w:pPr>
    </w:p>
    <w:p w14:paraId="0ED3F5C2" w14:textId="294D8C2A"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Existen diversas iniciativas que han diseñado mecanismos innovadores con productos adaptados a la realidad de cada país de manera muy exitosa. Sin embargo, los recursos del presupuesto nacional que destinan los gobiernos para programas de este tipo en la región han venido decreciendo en los últimos años debido a desequilibrios fiscales que </w:t>
      </w:r>
      <w:r w:rsidR="00E17EC5" w:rsidRPr="009863F2">
        <w:rPr>
          <w:rFonts w:ascii="Calibri Light" w:hAnsi="Calibri Light" w:cs="Arial"/>
          <w:sz w:val="24"/>
          <w:szCs w:val="24"/>
          <w:lang w:val="es-ES"/>
        </w:rPr>
        <w:t xml:space="preserve">llevan a </w:t>
      </w:r>
      <w:r w:rsidRPr="009863F2">
        <w:rPr>
          <w:rFonts w:ascii="Calibri Light" w:hAnsi="Calibri Light" w:cs="Arial"/>
          <w:sz w:val="24"/>
          <w:szCs w:val="24"/>
          <w:lang w:val="es-ES"/>
        </w:rPr>
        <w:t xml:space="preserve">priorizar el rol de la inversión pública hacia sectores tradicionales como salud, educación e infraestructura pública, </w:t>
      </w:r>
      <w:r w:rsidR="00E17EC5" w:rsidRPr="009863F2">
        <w:rPr>
          <w:rFonts w:ascii="Calibri Light" w:hAnsi="Calibri Light" w:cs="Arial"/>
          <w:sz w:val="24"/>
          <w:szCs w:val="24"/>
          <w:lang w:val="es-ES"/>
        </w:rPr>
        <w:t>y a disminuir los</w:t>
      </w:r>
      <w:r w:rsidRPr="009863F2">
        <w:rPr>
          <w:rFonts w:ascii="Calibri Light" w:hAnsi="Calibri Light" w:cs="Arial"/>
          <w:sz w:val="24"/>
          <w:szCs w:val="24"/>
          <w:lang w:val="es-ES"/>
        </w:rPr>
        <w:t xml:space="preserve"> subsidios </w:t>
      </w:r>
      <w:r w:rsidR="00E17EC5" w:rsidRPr="009863F2">
        <w:rPr>
          <w:rFonts w:ascii="Calibri Light" w:hAnsi="Calibri Light" w:cs="Arial"/>
          <w:sz w:val="24"/>
          <w:szCs w:val="24"/>
          <w:lang w:val="es-ES"/>
        </w:rPr>
        <w:t xml:space="preserve">orientados a </w:t>
      </w:r>
      <w:r w:rsidRPr="009863F2">
        <w:rPr>
          <w:rFonts w:ascii="Calibri Light" w:hAnsi="Calibri Light" w:cs="Arial"/>
          <w:sz w:val="24"/>
          <w:szCs w:val="24"/>
          <w:lang w:val="es-ES"/>
        </w:rPr>
        <w:t>promover el “financiamiento verde”</w:t>
      </w:r>
      <w:r w:rsidRPr="009863F2">
        <w:rPr>
          <w:rStyle w:val="FootnoteReference"/>
          <w:rFonts w:ascii="Calibri Light" w:hAnsi="Calibri Light" w:cs="Arial"/>
          <w:sz w:val="24"/>
          <w:szCs w:val="24"/>
          <w:lang w:val="es-ES"/>
        </w:rPr>
        <w:t xml:space="preserve"> </w:t>
      </w:r>
      <w:r w:rsidRPr="009863F2">
        <w:rPr>
          <w:rFonts w:ascii="Calibri Light" w:hAnsi="Calibri Light" w:cs="Arial"/>
          <w:sz w:val="24"/>
          <w:szCs w:val="24"/>
          <w:lang w:val="es-ES"/>
        </w:rPr>
        <w:t xml:space="preserve">(Boston University, 2015) </w:t>
      </w:r>
    </w:p>
    <w:bookmarkEnd w:id="16"/>
    <w:p w14:paraId="7487CAEC" w14:textId="77777777" w:rsidR="005775CD" w:rsidRPr="009863F2" w:rsidRDefault="005775CD" w:rsidP="009863F2">
      <w:pPr>
        <w:pStyle w:val="Heading3"/>
        <w:spacing w:line="240" w:lineRule="auto"/>
        <w:rPr>
          <w:rFonts w:ascii="Calibri Light" w:hAnsi="Calibri Light" w:cs="Arial"/>
          <w:sz w:val="24"/>
          <w:szCs w:val="24"/>
          <w:lang w:val="es-ES"/>
        </w:rPr>
      </w:pPr>
    </w:p>
    <w:p w14:paraId="1880A976" w14:textId="77777777" w:rsidR="00BC6E70" w:rsidRPr="009863F2" w:rsidRDefault="00BC6E70" w:rsidP="009863F2">
      <w:pPr>
        <w:spacing w:after="0" w:line="240" w:lineRule="auto"/>
        <w:rPr>
          <w:rFonts w:ascii="Calibri Light" w:hAnsi="Calibri Light" w:cs="Arial"/>
          <w:b/>
          <w:i/>
          <w:sz w:val="24"/>
          <w:szCs w:val="24"/>
          <w:lang w:val="es-ES_tradnl"/>
        </w:rPr>
      </w:pPr>
      <w:r w:rsidRPr="009863F2">
        <w:rPr>
          <w:rFonts w:ascii="Calibri Light" w:hAnsi="Calibri Light" w:cs="Arial"/>
          <w:b/>
          <w:i/>
          <w:sz w:val="24"/>
          <w:szCs w:val="24"/>
          <w:lang w:val="es-ES_tradnl"/>
        </w:rPr>
        <w:t>Intervenciones</w:t>
      </w:r>
    </w:p>
    <w:p w14:paraId="1AF1D2BC" w14:textId="602E727E"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_tradnl"/>
        </w:rPr>
        <w:t>Asistencia técnica.</w:t>
      </w:r>
      <w:r w:rsidRPr="009863F2">
        <w:rPr>
          <w:rFonts w:ascii="Calibri Light" w:hAnsi="Calibri Light" w:cs="Arial"/>
          <w:sz w:val="24"/>
          <w:szCs w:val="24"/>
          <w:lang w:val="es-ES_tradnl"/>
        </w:rPr>
        <w:t xml:space="preserve"> </w:t>
      </w:r>
      <w:r w:rsidRPr="009863F2">
        <w:rPr>
          <w:rFonts w:ascii="Calibri Light" w:hAnsi="Calibri Light" w:cs="Arial"/>
          <w:sz w:val="24"/>
          <w:szCs w:val="24"/>
          <w:lang w:val="es-ES"/>
        </w:rPr>
        <w:t xml:space="preserve">Muchas veces los bancos de desarrollo locales no cuentan con estructuras operativas </w:t>
      </w:r>
      <w:r w:rsidR="005775CD" w:rsidRPr="009863F2">
        <w:rPr>
          <w:rFonts w:ascii="Calibri Light" w:hAnsi="Calibri Light" w:cs="Arial"/>
          <w:sz w:val="24"/>
          <w:szCs w:val="24"/>
          <w:lang w:val="es-ES"/>
        </w:rPr>
        <w:t xml:space="preserve">ni con </w:t>
      </w:r>
      <w:r w:rsidR="005324CD" w:rsidRPr="009863F2">
        <w:rPr>
          <w:rFonts w:ascii="Calibri Light" w:hAnsi="Calibri Light" w:cs="Arial"/>
          <w:sz w:val="24"/>
          <w:szCs w:val="24"/>
          <w:lang w:val="es-ES"/>
        </w:rPr>
        <w:t xml:space="preserve">la </w:t>
      </w:r>
      <w:r w:rsidR="00E17EC5" w:rsidRPr="009863F2">
        <w:rPr>
          <w:rFonts w:ascii="Calibri Light" w:hAnsi="Calibri Light" w:cs="Arial"/>
          <w:sz w:val="24"/>
          <w:szCs w:val="24"/>
          <w:lang w:val="es-ES"/>
        </w:rPr>
        <w:t xml:space="preserve">pericia </w:t>
      </w:r>
      <w:r w:rsidRPr="009863F2">
        <w:rPr>
          <w:rFonts w:ascii="Calibri Light" w:hAnsi="Calibri Light" w:cs="Arial"/>
          <w:sz w:val="24"/>
          <w:szCs w:val="24"/>
          <w:lang w:val="es-ES"/>
        </w:rPr>
        <w:t xml:space="preserve">que </w:t>
      </w:r>
      <w:r w:rsidR="005324CD" w:rsidRPr="009863F2">
        <w:rPr>
          <w:rFonts w:ascii="Calibri Light" w:hAnsi="Calibri Light" w:cs="Arial"/>
          <w:sz w:val="24"/>
          <w:szCs w:val="24"/>
          <w:lang w:val="es-ES"/>
        </w:rPr>
        <w:t xml:space="preserve">les </w:t>
      </w:r>
      <w:r w:rsidRPr="009863F2">
        <w:rPr>
          <w:rFonts w:ascii="Calibri Light" w:hAnsi="Calibri Light" w:cs="Arial"/>
          <w:sz w:val="24"/>
          <w:szCs w:val="24"/>
          <w:lang w:val="es-ES"/>
        </w:rPr>
        <w:t xml:space="preserve">permitan cumplir con todos los requisitos exigidos para acceder a los mecanismos de financiamiento internacional, </w:t>
      </w:r>
      <w:r w:rsidR="00E17EC5" w:rsidRPr="009863F2">
        <w:rPr>
          <w:rFonts w:ascii="Calibri Light" w:hAnsi="Calibri Light" w:cs="Arial"/>
          <w:sz w:val="24"/>
          <w:szCs w:val="24"/>
          <w:lang w:val="es-ES"/>
        </w:rPr>
        <w:t xml:space="preserve">los cuales suelen ser </w:t>
      </w:r>
      <w:r w:rsidRPr="009863F2">
        <w:rPr>
          <w:rFonts w:ascii="Calibri Light" w:hAnsi="Calibri Light" w:cs="Arial"/>
          <w:sz w:val="24"/>
          <w:szCs w:val="24"/>
          <w:lang w:val="es-ES"/>
        </w:rPr>
        <w:t xml:space="preserve">bastante complejos. En esta coyuntura, los gobiernos </w:t>
      </w:r>
      <w:r w:rsidR="00E17EC5" w:rsidRPr="009863F2">
        <w:rPr>
          <w:rFonts w:ascii="Calibri Light" w:hAnsi="Calibri Light" w:cs="Arial"/>
          <w:sz w:val="24"/>
          <w:szCs w:val="24"/>
          <w:lang w:val="es-ES"/>
        </w:rPr>
        <w:t xml:space="preserve">deben </w:t>
      </w:r>
      <w:r w:rsidRPr="009863F2">
        <w:rPr>
          <w:rFonts w:ascii="Calibri Light" w:hAnsi="Calibri Light" w:cs="Arial"/>
          <w:sz w:val="24"/>
          <w:szCs w:val="24"/>
          <w:lang w:val="es-ES"/>
        </w:rPr>
        <w:t xml:space="preserve">fortalecer sus estructuras a fin de establecer mecanismos de apalancamiento para acceder a los recursos concesionales y canalizarlos a través de su banca de desarrollo. </w:t>
      </w:r>
    </w:p>
    <w:p w14:paraId="0D1167EB" w14:textId="77777777" w:rsidR="00AB6E92" w:rsidRDefault="00AB6E92" w:rsidP="009863F2">
      <w:pPr>
        <w:spacing w:after="0" w:line="240" w:lineRule="auto"/>
        <w:jc w:val="both"/>
        <w:rPr>
          <w:rFonts w:ascii="Calibri Light" w:hAnsi="Calibri Light" w:cs="Arial"/>
          <w:sz w:val="24"/>
          <w:szCs w:val="24"/>
          <w:lang w:val="es-ES"/>
        </w:rPr>
      </w:pPr>
    </w:p>
    <w:p w14:paraId="4A2E38FC" w14:textId="712E020C" w:rsidR="005775CD" w:rsidRPr="009863F2" w:rsidRDefault="005775CD"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Esta asistencia técnica puede canalizarse hacia dos tipos de operaciones relacionadas con el financiamiento verde: i) las que permiten de manera directa o indirecta tener acceso a “fondos verdes” para uso directo del banco de desarrollo (ya sea gestionando per se estos fondos y asignando los proyectos de financiamiento en tal sentido a los beneficiarios postulantes de los mismos o en conjunto con operaciones de desarrollo del mercado de vivienda verde gestionadas con el </w:t>
      </w:r>
      <w:r w:rsidR="00E17EC5" w:rsidRPr="009863F2">
        <w:rPr>
          <w:rFonts w:ascii="Calibri Light" w:hAnsi="Calibri Light" w:cs="Arial"/>
          <w:sz w:val="24"/>
          <w:szCs w:val="24"/>
          <w:lang w:val="es-ES"/>
        </w:rPr>
        <w:t>b</w:t>
      </w:r>
      <w:r w:rsidRPr="009863F2">
        <w:rPr>
          <w:rFonts w:ascii="Calibri Light" w:hAnsi="Calibri Light" w:cs="Arial"/>
          <w:sz w:val="24"/>
          <w:szCs w:val="24"/>
          <w:lang w:val="es-ES"/>
        </w:rPr>
        <w:t xml:space="preserve">anco a los efectos de desarrollar estas capacidades para futuras intervenciones y evaluar </w:t>
      </w:r>
      <w:r w:rsidR="00E17EC5" w:rsidRPr="009863F2">
        <w:rPr>
          <w:rFonts w:ascii="Calibri Light" w:hAnsi="Calibri Light" w:cs="Arial"/>
          <w:sz w:val="24"/>
          <w:szCs w:val="24"/>
          <w:lang w:val="es-ES"/>
        </w:rPr>
        <w:t xml:space="preserve">de forma adecuada </w:t>
      </w:r>
      <w:r w:rsidRPr="009863F2">
        <w:rPr>
          <w:rFonts w:ascii="Calibri Light" w:hAnsi="Calibri Light" w:cs="Arial"/>
          <w:sz w:val="24"/>
          <w:szCs w:val="24"/>
          <w:lang w:val="es-ES"/>
        </w:rPr>
        <w:t>los costos e inversiones necesari</w:t>
      </w:r>
      <w:r w:rsidR="00E17EC5" w:rsidRPr="009863F2">
        <w:rPr>
          <w:rFonts w:ascii="Calibri Light" w:hAnsi="Calibri Light" w:cs="Arial"/>
          <w:sz w:val="24"/>
          <w:szCs w:val="24"/>
          <w:lang w:val="es-ES"/>
        </w:rPr>
        <w:t>o</w:t>
      </w:r>
      <w:r w:rsidRPr="009863F2">
        <w:rPr>
          <w:rFonts w:ascii="Calibri Light" w:hAnsi="Calibri Light" w:cs="Arial"/>
          <w:sz w:val="24"/>
          <w:szCs w:val="24"/>
          <w:lang w:val="es-ES"/>
        </w:rPr>
        <w:t xml:space="preserve">s para hacerlo en forma independiente); </w:t>
      </w:r>
      <w:r w:rsidR="005324CD" w:rsidRPr="009863F2">
        <w:rPr>
          <w:rFonts w:ascii="Calibri Light" w:hAnsi="Calibri Light" w:cs="Arial"/>
          <w:sz w:val="24"/>
          <w:szCs w:val="24"/>
          <w:lang w:val="es-ES"/>
        </w:rPr>
        <w:t xml:space="preserve">y </w:t>
      </w:r>
      <w:r w:rsidRPr="009863F2">
        <w:rPr>
          <w:rFonts w:ascii="Calibri Light" w:hAnsi="Calibri Light" w:cs="Arial"/>
          <w:sz w:val="24"/>
          <w:szCs w:val="24"/>
          <w:lang w:val="es-ES"/>
        </w:rPr>
        <w:t xml:space="preserve">ii) las que permiten </w:t>
      </w:r>
      <w:r w:rsidR="00E17EC5" w:rsidRPr="009863F2">
        <w:rPr>
          <w:rFonts w:ascii="Calibri Light" w:hAnsi="Calibri Light" w:cs="Arial"/>
          <w:sz w:val="24"/>
          <w:szCs w:val="24"/>
          <w:lang w:val="es-ES"/>
        </w:rPr>
        <w:t xml:space="preserve">emitir </w:t>
      </w:r>
      <w:r w:rsidRPr="009863F2">
        <w:rPr>
          <w:rFonts w:ascii="Calibri Light" w:hAnsi="Calibri Light" w:cs="Arial"/>
          <w:sz w:val="24"/>
          <w:szCs w:val="24"/>
          <w:lang w:val="es-ES"/>
        </w:rPr>
        <w:t xml:space="preserve">“bonos verdes” para acceder a fuentes de </w:t>
      </w:r>
      <w:r w:rsidR="00E17EC5" w:rsidRPr="009863F2">
        <w:rPr>
          <w:rFonts w:ascii="Calibri Light" w:hAnsi="Calibri Light" w:cs="Arial"/>
          <w:sz w:val="24"/>
          <w:szCs w:val="24"/>
          <w:lang w:val="es-ES"/>
        </w:rPr>
        <w:t xml:space="preserve">financiamiento </w:t>
      </w:r>
      <w:r w:rsidRPr="009863F2">
        <w:rPr>
          <w:rFonts w:ascii="Calibri Light" w:hAnsi="Calibri Light" w:cs="Arial"/>
          <w:sz w:val="24"/>
          <w:szCs w:val="24"/>
          <w:lang w:val="es-ES"/>
        </w:rPr>
        <w:t xml:space="preserve">de inversionistas internacionales </w:t>
      </w:r>
      <w:r w:rsidR="00E17EC5" w:rsidRPr="009863F2">
        <w:rPr>
          <w:rFonts w:ascii="Calibri Light" w:hAnsi="Calibri Light" w:cs="Arial"/>
          <w:sz w:val="24"/>
          <w:szCs w:val="24"/>
          <w:lang w:val="es-ES"/>
        </w:rPr>
        <w:t xml:space="preserve">que tienen </w:t>
      </w:r>
      <w:r w:rsidRPr="009863F2">
        <w:rPr>
          <w:rFonts w:ascii="Calibri Light" w:hAnsi="Calibri Light" w:cs="Arial"/>
          <w:sz w:val="24"/>
          <w:szCs w:val="24"/>
          <w:lang w:val="es-ES"/>
        </w:rPr>
        <w:t xml:space="preserve">apetito de riesgo y </w:t>
      </w:r>
      <w:r w:rsidR="00E17EC5" w:rsidRPr="009863F2">
        <w:rPr>
          <w:rFonts w:ascii="Calibri Light" w:hAnsi="Calibri Light" w:cs="Arial"/>
          <w:sz w:val="24"/>
          <w:szCs w:val="24"/>
          <w:lang w:val="es-ES"/>
        </w:rPr>
        <w:t>valoran</w:t>
      </w:r>
      <w:r w:rsidRPr="009863F2">
        <w:rPr>
          <w:rFonts w:ascii="Calibri Light" w:hAnsi="Calibri Light" w:cs="Arial"/>
          <w:sz w:val="24"/>
          <w:szCs w:val="24"/>
          <w:lang w:val="es-ES"/>
        </w:rPr>
        <w:t xml:space="preserve"> este tipo de instrumentos.</w:t>
      </w:r>
    </w:p>
    <w:p w14:paraId="73511AE1" w14:textId="77777777" w:rsidR="00AB6E92" w:rsidRDefault="00AB6E92" w:rsidP="009863F2">
      <w:pPr>
        <w:spacing w:after="0" w:line="240" w:lineRule="auto"/>
        <w:jc w:val="both"/>
        <w:rPr>
          <w:rFonts w:ascii="Calibri Light" w:hAnsi="Calibri Light" w:cs="Arial"/>
          <w:i/>
          <w:sz w:val="24"/>
          <w:szCs w:val="24"/>
          <w:lang w:val="es-ES"/>
        </w:rPr>
      </w:pPr>
    </w:p>
    <w:p w14:paraId="6A4CE859" w14:textId="6E84AF97"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i/>
          <w:sz w:val="24"/>
          <w:szCs w:val="24"/>
          <w:lang w:val="es-ES"/>
        </w:rPr>
        <w:t xml:space="preserve">Subsidios. </w:t>
      </w:r>
      <w:r w:rsidRPr="009863F2">
        <w:rPr>
          <w:rFonts w:ascii="Calibri Light" w:hAnsi="Calibri Light" w:cs="Arial"/>
          <w:sz w:val="24"/>
          <w:szCs w:val="24"/>
          <w:lang w:val="es-ES"/>
        </w:rPr>
        <w:t>E</w:t>
      </w:r>
      <w:r w:rsidR="00E17EC5" w:rsidRPr="009863F2">
        <w:rPr>
          <w:rFonts w:ascii="Calibri Light" w:hAnsi="Calibri Light" w:cs="Arial"/>
          <w:sz w:val="24"/>
          <w:szCs w:val="24"/>
          <w:lang w:val="es-ES"/>
        </w:rPr>
        <w:t>n la región e</w:t>
      </w:r>
      <w:r w:rsidRPr="009863F2">
        <w:rPr>
          <w:rFonts w:ascii="Calibri Light" w:hAnsi="Calibri Light" w:cs="Arial"/>
          <w:sz w:val="24"/>
          <w:szCs w:val="24"/>
          <w:lang w:val="es-ES"/>
        </w:rPr>
        <w:t>xisten</w:t>
      </w:r>
      <w:r w:rsidRPr="009863F2">
        <w:rPr>
          <w:rFonts w:ascii="Calibri Light" w:hAnsi="Calibri Light" w:cs="Arial"/>
          <w:i/>
          <w:sz w:val="24"/>
          <w:szCs w:val="24"/>
          <w:lang w:val="es-ES"/>
        </w:rPr>
        <w:t xml:space="preserve"> </w:t>
      </w:r>
      <w:r w:rsidRPr="009863F2">
        <w:rPr>
          <w:rFonts w:ascii="Calibri Light" w:hAnsi="Calibri Light" w:cs="Arial"/>
          <w:sz w:val="24"/>
          <w:szCs w:val="24"/>
          <w:lang w:val="es-ES"/>
        </w:rPr>
        <w:t xml:space="preserve">experiencias exitosas </w:t>
      </w:r>
      <w:r w:rsidR="00E17EC5" w:rsidRPr="009863F2">
        <w:rPr>
          <w:rFonts w:ascii="Calibri Light" w:hAnsi="Calibri Light" w:cs="Arial"/>
          <w:sz w:val="24"/>
          <w:szCs w:val="24"/>
          <w:lang w:val="es-ES"/>
        </w:rPr>
        <w:t>en cuyo caso</w:t>
      </w:r>
      <w:r w:rsidRPr="009863F2">
        <w:rPr>
          <w:rFonts w:ascii="Calibri Light" w:hAnsi="Calibri Light" w:cs="Arial"/>
          <w:sz w:val="24"/>
          <w:szCs w:val="24"/>
          <w:lang w:val="es-ES"/>
        </w:rPr>
        <w:t xml:space="preserve"> los gobiernos destinan y/o canalizan subsidios para impulsar la construcción y venta de unidades habitacionales </w:t>
      </w:r>
      <w:r w:rsidR="00E17EC5" w:rsidRPr="009863F2">
        <w:rPr>
          <w:rFonts w:ascii="Calibri Light" w:hAnsi="Calibri Light" w:cs="Arial"/>
          <w:sz w:val="24"/>
          <w:szCs w:val="24"/>
          <w:lang w:val="es-ES"/>
        </w:rPr>
        <w:t xml:space="preserve">sostenibles </w:t>
      </w:r>
      <w:r w:rsidRPr="009863F2">
        <w:rPr>
          <w:rFonts w:ascii="Calibri Light" w:hAnsi="Calibri Light" w:cs="Arial"/>
          <w:sz w:val="24"/>
          <w:szCs w:val="24"/>
          <w:lang w:val="es-ES"/>
        </w:rPr>
        <w:lastRenderedPageBreak/>
        <w:t>y resilientes. Con ello</w:t>
      </w:r>
      <w:r w:rsidR="00E17EC5" w:rsidRPr="009863F2">
        <w:rPr>
          <w:rFonts w:ascii="Calibri Light" w:hAnsi="Calibri Light" w:cs="Arial"/>
          <w:sz w:val="24"/>
          <w:szCs w:val="24"/>
          <w:lang w:val="es-ES"/>
        </w:rPr>
        <w:t>,</w:t>
      </w:r>
      <w:r w:rsidRPr="009863F2">
        <w:rPr>
          <w:rFonts w:ascii="Calibri Light" w:hAnsi="Calibri Light" w:cs="Arial"/>
          <w:sz w:val="24"/>
          <w:szCs w:val="24"/>
          <w:lang w:val="es-ES"/>
        </w:rPr>
        <w:t xml:space="preserve"> además de contribuir </w:t>
      </w:r>
      <w:r w:rsidR="00E17EC5" w:rsidRPr="009863F2">
        <w:rPr>
          <w:rFonts w:ascii="Calibri Light" w:hAnsi="Calibri Light" w:cs="Arial"/>
          <w:sz w:val="24"/>
          <w:szCs w:val="24"/>
          <w:lang w:val="es-ES"/>
        </w:rPr>
        <w:t xml:space="preserve">a </w:t>
      </w:r>
      <w:r w:rsidRPr="009863F2">
        <w:rPr>
          <w:rFonts w:ascii="Calibri Light" w:hAnsi="Calibri Light" w:cs="Arial"/>
          <w:sz w:val="24"/>
          <w:szCs w:val="24"/>
          <w:lang w:val="es-ES"/>
        </w:rPr>
        <w:t xml:space="preserve">las estrategias relacionadas </w:t>
      </w:r>
      <w:r w:rsidR="00E17EC5" w:rsidRPr="009863F2">
        <w:rPr>
          <w:rFonts w:ascii="Calibri Light" w:hAnsi="Calibri Light" w:cs="Arial"/>
          <w:sz w:val="24"/>
          <w:szCs w:val="24"/>
          <w:lang w:val="es-ES"/>
        </w:rPr>
        <w:t xml:space="preserve">con el </w:t>
      </w:r>
      <w:r w:rsidRPr="009863F2">
        <w:rPr>
          <w:rFonts w:ascii="Calibri Light" w:hAnsi="Calibri Light" w:cs="Arial"/>
          <w:sz w:val="24"/>
          <w:szCs w:val="24"/>
          <w:lang w:val="es-ES"/>
        </w:rPr>
        <w:t xml:space="preserve">cambio climático, </w:t>
      </w:r>
      <w:r w:rsidR="00E17EC5" w:rsidRPr="009863F2">
        <w:rPr>
          <w:rFonts w:ascii="Calibri Light" w:hAnsi="Calibri Light" w:cs="Arial"/>
          <w:sz w:val="24"/>
          <w:szCs w:val="24"/>
          <w:lang w:val="es-ES"/>
        </w:rPr>
        <w:t xml:space="preserve">se genera una </w:t>
      </w:r>
      <w:r w:rsidRPr="009863F2">
        <w:rPr>
          <w:rFonts w:ascii="Calibri Light" w:hAnsi="Calibri Light" w:cs="Arial"/>
          <w:sz w:val="24"/>
          <w:szCs w:val="24"/>
          <w:lang w:val="es-ES"/>
        </w:rPr>
        <w:t xml:space="preserve">mayor conciencia y madurez en los mercados respecto </w:t>
      </w:r>
      <w:r w:rsidR="00E17EC5" w:rsidRPr="009863F2">
        <w:rPr>
          <w:rFonts w:ascii="Calibri Light" w:hAnsi="Calibri Light" w:cs="Arial"/>
          <w:sz w:val="24"/>
          <w:szCs w:val="24"/>
          <w:lang w:val="es-ES"/>
        </w:rPr>
        <w:t>de</w:t>
      </w:r>
      <w:r w:rsidRPr="009863F2">
        <w:rPr>
          <w:rFonts w:ascii="Calibri Light" w:hAnsi="Calibri Light" w:cs="Arial"/>
          <w:sz w:val="24"/>
          <w:szCs w:val="24"/>
          <w:lang w:val="es-ES"/>
        </w:rPr>
        <w:t>l desarrollo sostenible.</w:t>
      </w:r>
    </w:p>
    <w:p w14:paraId="212BB1F2" w14:textId="77777777" w:rsidR="00D41E89" w:rsidRPr="009863F2" w:rsidRDefault="00D41E89" w:rsidP="009863F2">
      <w:pPr>
        <w:spacing w:after="0" w:line="240" w:lineRule="auto"/>
        <w:jc w:val="both"/>
        <w:rPr>
          <w:rFonts w:ascii="Calibri Light" w:hAnsi="Calibri Light" w:cs="Arial"/>
          <w:sz w:val="24"/>
          <w:szCs w:val="24"/>
          <w:lang w:val="es-ES"/>
        </w:rPr>
      </w:pPr>
    </w:p>
    <w:p w14:paraId="237A7F24" w14:textId="0641C881" w:rsidR="005324CD" w:rsidRPr="009863F2" w:rsidRDefault="00971CF6" w:rsidP="009863F2">
      <w:pPr>
        <w:spacing w:after="0" w:line="240" w:lineRule="auto"/>
        <w:jc w:val="both"/>
        <w:rPr>
          <w:rFonts w:ascii="Calibri Light" w:hAnsi="Calibri Light" w:cs="Arial"/>
          <w:sz w:val="24"/>
          <w:szCs w:val="24"/>
          <w:lang w:val="es-ES"/>
        </w:rPr>
      </w:pPr>
      <w:r w:rsidRPr="009863F2">
        <w:rPr>
          <w:rFonts w:ascii="Calibri Light" w:hAnsi="Calibri Light"/>
          <w:noProof/>
          <w:sz w:val="24"/>
          <w:szCs w:val="24"/>
        </w:rPr>
        <w:drawing>
          <wp:inline distT="0" distB="0" distL="0" distR="0" wp14:anchorId="42020E99" wp14:editId="570A3D19">
            <wp:extent cx="6038688" cy="2824099"/>
            <wp:effectExtent l="0" t="0" r="698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688" cy="2824099"/>
                    </a:xfrm>
                    <a:prstGeom prst="rect">
                      <a:avLst/>
                    </a:prstGeom>
                    <a:noFill/>
                    <a:ln>
                      <a:noFill/>
                    </a:ln>
                  </pic:spPr>
                </pic:pic>
              </a:graphicData>
            </a:graphic>
          </wp:inline>
        </w:drawing>
      </w:r>
      <w:r w:rsidR="00BC6E70" w:rsidRPr="009863F2">
        <w:rPr>
          <w:rFonts w:ascii="Calibri Light" w:hAnsi="Calibri Light" w:cs="Arial"/>
          <w:sz w:val="24"/>
          <w:szCs w:val="24"/>
          <w:lang w:val="es-ES"/>
        </w:rPr>
        <w:t xml:space="preserve"> </w:t>
      </w:r>
    </w:p>
    <w:p w14:paraId="53567DBB" w14:textId="77777777" w:rsidR="00AB6E92" w:rsidRDefault="00AB6E92" w:rsidP="009863F2">
      <w:pPr>
        <w:spacing w:after="0" w:line="240" w:lineRule="auto"/>
        <w:jc w:val="both"/>
        <w:rPr>
          <w:rFonts w:ascii="Calibri Light" w:hAnsi="Calibri Light" w:cs="Arial"/>
          <w:sz w:val="24"/>
          <w:szCs w:val="24"/>
          <w:lang w:val="es-ES"/>
        </w:rPr>
      </w:pPr>
    </w:p>
    <w:p w14:paraId="2D6C55A1" w14:textId="233214D9" w:rsidR="00BC6E70" w:rsidRPr="009863F2" w:rsidRDefault="00BC6E7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E</w:t>
      </w:r>
      <w:r w:rsidR="00E17EC5" w:rsidRPr="009863F2">
        <w:rPr>
          <w:rFonts w:ascii="Calibri Light" w:hAnsi="Calibri Light" w:cs="Arial"/>
          <w:sz w:val="24"/>
          <w:szCs w:val="24"/>
          <w:lang w:val="es-ES"/>
        </w:rPr>
        <w:t>n e</w:t>
      </w:r>
      <w:r w:rsidRPr="009863F2">
        <w:rPr>
          <w:rFonts w:ascii="Calibri Light" w:hAnsi="Calibri Light" w:cs="Arial"/>
          <w:sz w:val="24"/>
          <w:szCs w:val="24"/>
          <w:lang w:val="es-ES"/>
        </w:rPr>
        <w:t xml:space="preserve">l gráfico 2 </w:t>
      </w:r>
      <w:r w:rsidR="00E17EC5" w:rsidRPr="009863F2">
        <w:rPr>
          <w:rFonts w:ascii="Calibri Light" w:hAnsi="Calibri Light" w:cs="Arial"/>
          <w:sz w:val="24"/>
          <w:szCs w:val="24"/>
          <w:lang w:val="es-ES"/>
        </w:rPr>
        <w:t xml:space="preserve">se </w:t>
      </w:r>
      <w:r w:rsidRPr="009863F2">
        <w:rPr>
          <w:rFonts w:ascii="Calibri Light" w:hAnsi="Calibri Light" w:cs="Arial"/>
          <w:sz w:val="24"/>
          <w:szCs w:val="24"/>
          <w:lang w:val="es-ES"/>
        </w:rPr>
        <w:t xml:space="preserve">muestra </w:t>
      </w:r>
      <w:r w:rsidR="00E17EC5" w:rsidRPr="009863F2">
        <w:rPr>
          <w:rFonts w:ascii="Calibri Light" w:hAnsi="Calibri Light" w:cs="Arial"/>
          <w:sz w:val="24"/>
          <w:szCs w:val="24"/>
          <w:lang w:val="es-ES"/>
        </w:rPr>
        <w:t xml:space="preserve">cómo </w:t>
      </w:r>
      <w:r w:rsidRPr="009863F2">
        <w:rPr>
          <w:rFonts w:ascii="Calibri Light" w:hAnsi="Calibri Light" w:cs="Arial"/>
          <w:sz w:val="24"/>
          <w:szCs w:val="24"/>
          <w:lang w:val="es-ES"/>
        </w:rPr>
        <w:t xml:space="preserve">la promoción de vivienda </w:t>
      </w:r>
      <w:r w:rsidR="00E17EC5" w:rsidRPr="009863F2">
        <w:rPr>
          <w:rFonts w:ascii="Calibri Light" w:hAnsi="Calibri Light" w:cs="Arial"/>
          <w:sz w:val="24"/>
          <w:szCs w:val="24"/>
          <w:lang w:val="es-ES"/>
        </w:rPr>
        <w:t xml:space="preserve">sostenible </w:t>
      </w:r>
      <w:r w:rsidRPr="009863F2">
        <w:rPr>
          <w:rFonts w:ascii="Calibri Light" w:hAnsi="Calibri Light" w:cs="Arial"/>
          <w:sz w:val="24"/>
          <w:szCs w:val="24"/>
          <w:lang w:val="es-ES"/>
        </w:rPr>
        <w:t xml:space="preserve">y resiliente contribuye a las estrategias de mitigación </w:t>
      </w:r>
      <w:r w:rsidR="00E17EC5" w:rsidRPr="009863F2">
        <w:rPr>
          <w:rFonts w:ascii="Calibri Light" w:hAnsi="Calibri Light" w:cs="Arial"/>
          <w:sz w:val="24"/>
          <w:szCs w:val="24"/>
          <w:lang w:val="es-ES"/>
        </w:rPr>
        <w:t xml:space="preserve">del cambio climático </w:t>
      </w:r>
      <w:r w:rsidRPr="009863F2">
        <w:rPr>
          <w:rFonts w:ascii="Calibri Light" w:hAnsi="Calibri Light" w:cs="Arial"/>
          <w:sz w:val="24"/>
          <w:szCs w:val="24"/>
          <w:lang w:val="es-ES"/>
        </w:rPr>
        <w:t>y adaptación</w:t>
      </w:r>
      <w:r w:rsidR="00E17EC5" w:rsidRPr="009863F2">
        <w:rPr>
          <w:rFonts w:ascii="Calibri Light" w:hAnsi="Calibri Light" w:cs="Arial"/>
          <w:sz w:val="24"/>
          <w:szCs w:val="24"/>
          <w:lang w:val="es-ES"/>
        </w:rPr>
        <w:t xml:space="preserve"> al mismo</w:t>
      </w:r>
      <w:r w:rsidRPr="009863F2">
        <w:rPr>
          <w:rFonts w:ascii="Calibri Light" w:hAnsi="Calibri Light" w:cs="Arial"/>
          <w:sz w:val="24"/>
          <w:szCs w:val="24"/>
          <w:lang w:val="es-ES"/>
        </w:rPr>
        <w:t xml:space="preserve">. </w:t>
      </w:r>
    </w:p>
    <w:p w14:paraId="5E594151" w14:textId="77777777" w:rsidR="00D41E89" w:rsidRPr="009863F2" w:rsidRDefault="00D41E89" w:rsidP="009863F2">
      <w:pPr>
        <w:spacing w:after="0" w:line="240" w:lineRule="auto"/>
        <w:jc w:val="both"/>
        <w:rPr>
          <w:rFonts w:ascii="Calibri Light" w:hAnsi="Calibri Light" w:cs="Arial"/>
          <w:sz w:val="24"/>
          <w:szCs w:val="24"/>
          <w:lang w:val="es-ES"/>
        </w:rPr>
      </w:pPr>
    </w:p>
    <w:p w14:paraId="1BAFCB02" w14:textId="77777777" w:rsidR="00E17EC5" w:rsidRPr="009863F2" w:rsidRDefault="00BB00AA" w:rsidP="009863F2">
      <w:pPr>
        <w:pBdr>
          <w:top w:val="single" w:sz="4" w:space="2" w:color="auto"/>
          <w:left w:val="single" w:sz="4" w:space="4" w:color="auto"/>
          <w:bottom w:val="single" w:sz="4" w:space="1" w:color="auto"/>
          <w:right w:val="single" w:sz="4" w:space="4" w:color="auto"/>
        </w:pBdr>
        <w:spacing w:after="0" w:line="240" w:lineRule="auto"/>
        <w:ind w:left="90"/>
        <w:jc w:val="center"/>
        <w:rPr>
          <w:rFonts w:ascii="Calibri Light" w:hAnsi="Calibri Light" w:cs="Arial"/>
          <w:b/>
          <w:sz w:val="24"/>
          <w:szCs w:val="24"/>
          <w:lang w:val="es-ES"/>
        </w:rPr>
      </w:pPr>
      <w:r w:rsidRPr="009863F2">
        <w:rPr>
          <w:rFonts w:ascii="Calibri Light" w:hAnsi="Calibri Light" w:cs="Arial"/>
          <w:b/>
          <w:sz w:val="24"/>
          <w:szCs w:val="24"/>
          <w:lang w:val="es-ES"/>
        </w:rPr>
        <w:t>Recuadro 3</w:t>
      </w:r>
    </w:p>
    <w:p w14:paraId="301DDB41" w14:textId="40145488" w:rsidR="003A620C" w:rsidRPr="009863F2" w:rsidRDefault="00E17EC5" w:rsidP="009863F2">
      <w:pPr>
        <w:pBdr>
          <w:top w:val="single" w:sz="4" w:space="2" w:color="auto"/>
          <w:left w:val="single" w:sz="4" w:space="4" w:color="auto"/>
          <w:bottom w:val="single" w:sz="4" w:space="1" w:color="auto"/>
          <w:right w:val="single" w:sz="4" w:space="4" w:color="auto"/>
        </w:pBdr>
        <w:spacing w:after="0" w:line="240" w:lineRule="auto"/>
        <w:ind w:left="90"/>
        <w:jc w:val="center"/>
        <w:rPr>
          <w:rFonts w:ascii="Calibri Light" w:hAnsi="Calibri Light" w:cs="Arial"/>
          <w:b/>
          <w:sz w:val="24"/>
          <w:szCs w:val="24"/>
          <w:lang w:val="es-ES"/>
        </w:rPr>
      </w:pPr>
      <w:r w:rsidRPr="009863F2">
        <w:rPr>
          <w:rFonts w:ascii="Calibri Light" w:hAnsi="Calibri Light" w:cs="Arial"/>
          <w:b/>
          <w:sz w:val="24"/>
          <w:szCs w:val="24"/>
          <w:lang w:val="es-ES"/>
        </w:rPr>
        <w:t>El f</w:t>
      </w:r>
      <w:r w:rsidR="00BC6E70" w:rsidRPr="009863F2">
        <w:rPr>
          <w:rFonts w:ascii="Calibri Light" w:hAnsi="Calibri Light" w:cs="Arial"/>
          <w:b/>
          <w:sz w:val="24"/>
          <w:szCs w:val="24"/>
          <w:lang w:val="es-ES"/>
        </w:rPr>
        <w:t>ondo contra el cambio climático en México</w:t>
      </w:r>
    </w:p>
    <w:p w14:paraId="04711752" w14:textId="4C550EED" w:rsidR="00BC6E70" w:rsidRPr="009863F2" w:rsidRDefault="00BC6E70" w:rsidP="009863F2">
      <w:pPr>
        <w:pBdr>
          <w:top w:val="single" w:sz="4" w:space="2" w:color="auto"/>
          <w:left w:val="single" w:sz="4" w:space="4" w:color="auto"/>
          <w:bottom w:val="single" w:sz="4" w:space="1" w:color="auto"/>
          <w:right w:val="single" w:sz="4" w:space="4" w:color="auto"/>
        </w:pBdr>
        <w:spacing w:after="0" w:line="240" w:lineRule="auto"/>
        <w:ind w:left="90"/>
        <w:jc w:val="both"/>
        <w:rPr>
          <w:rFonts w:ascii="Calibri Light" w:hAnsi="Calibri Light" w:cs="Arial"/>
          <w:sz w:val="24"/>
          <w:szCs w:val="24"/>
          <w:lang w:val="es-ES_tradnl"/>
        </w:rPr>
      </w:pPr>
      <w:r w:rsidRPr="009863F2">
        <w:rPr>
          <w:rFonts w:ascii="Calibri Light" w:hAnsi="Calibri Light" w:cs="Arial"/>
          <w:sz w:val="24"/>
          <w:szCs w:val="24"/>
          <w:lang w:val="es-ES"/>
        </w:rPr>
        <w:t>Con recursos de la cooperación internacional (</w:t>
      </w:r>
      <w:r w:rsidRPr="009863F2">
        <w:rPr>
          <w:rFonts w:ascii="Calibri Light" w:hAnsi="Calibri Light" w:cs="Arial"/>
          <w:i/>
          <w:sz w:val="24"/>
          <w:szCs w:val="24"/>
          <w:lang w:val="es-ES"/>
        </w:rPr>
        <w:t>Clean Technology Fund</w:t>
      </w:r>
      <w:r w:rsidRPr="009863F2">
        <w:rPr>
          <w:rFonts w:ascii="Calibri Light" w:hAnsi="Calibri Light" w:cs="Arial"/>
          <w:sz w:val="24"/>
          <w:szCs w:val="24"/>
          <w:lang w:val="es-ES"/>
        </w:rPr>
        <w:t>)</w:t>
      </w:r>
      <w:r w:rsidR="00E17EC5" w:rsidRPr="009863F2">
        <w:rPr>
          <w:rFonts w:ascii="Calibri Light" w:hAnsi="Calibri Light" w:cs="Arial"/>
          <w:sz w:val="24"/>
          <w:szCs w:val="24"/>
          <w:lang w:val="es-ES"/>
        </w:rPr>
        <w:t>, en México</w:t>
      </w:r>
      <w:r w:rsidRPr="009863F2">
        <w:rPr>
          <w:rFonts w:ascii="Calibri Light" w:hAnsi="Calibri Light" w:cs="Arial"/>
          <w:sz w:val="24"/>
          <w:szCs w:val="24"/>
          <w:lang w:val="es-ES"/>
        </w:rPr>
        <w:t xml:space="preserve"> se constituyó un fondo orientado a iniciativas que promuevan la </w:t>
      </w:r>
      <w:r w:rsidRPr="009863F2">
        <w:rPr>
          <w:rFonts w:ascii="Calibri Light" w:hAnsi="Calibri Light" w:cs="Arial"/>
          <w:sz w:val="24"/>
          <w:szCs w:val="24"/>
          <w:lang w:val="es-ES_tradnl"/>
        </w:rPr>
        <w:t xml:space="preserve">lucha contra el cambio climático. Los objetivos de las inversiones del fondo consisten en contribuir a los esfuerzos del gobierno para reducir las emisiones de gases de efecto invernadero (GEI) relacionadas con el sector residencial por medio de: i) el incremento de la construcción de viviendas </w:t>
      </w:r>
      <w:r w:rsidR="00E17EC5" w:rsidRPr="009863F2">
        <w:rPr>
          <w:rFonts w:ascii="Calibri Light" w:hAnsi="Calibri Light" w:cs="Arial"/>
          <w:sz w:val="24"/>
          <w:szCs w:val="24"/>
          <w:lang w:val="es-ES_tradnl"/>
        </w:rPr>
        <w:t>bajas en</w:t>
      </w:r>
      <w:r w:rsidRPr="009863F2">
        <w:rPr>
          <w:rFonts w:ascii="Calibri Light" w:hAnsi="Calibri Light" w:cs="Arial"/>
          <w:sz w:val="24"/>
          <w:szCs w:val="24"/>
          <w:lang w:val="es-ES_tradnl"/>
        </w:rPr>
        <w:t xml:space="preserve"> carbono a través de la provisión de incentivos financieros para la inversión en eficiencia energética</w:t>
      </w:r>
      <w:r w:rsidR="00E17EC5"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y ii) el incremento de la oferta de hipotecas para viviendas de </w:t>
      </w:r>
      <w:r w:rsidR="00E17EC5" w:rsidRPr="009863F2">
        <w:rPr>
          <w:rFonts w:ascii="Calibri Light" w:hAnsi="Calibri Light" w:cs="Arial"/>
          <w:sz w:val="24"/>
          <w:szCs w:val="24"/>
          <w:lang w:val="es-ES_tradnl"/>
        </w:rPr>
        <w:t xml:space="preserve">construcción baja en </w:t>
      </w:r>
      <w:r w:rsidRPr="009863F2">
        <w:rPr>
          <w:rFonts w:ascii="Calibri Light" w:hAnsi="Calibri Light" w:cs="Arial"/>
          <w:sz w:val="24"/>
          <w:szCs w:val="24"/>
          <w:lang w:val="es-ES_tradnl"/>
        </w:rPr>
        <w:t xml:space="preserve">carbono. Estas iniciativas surgen ante </w:t>
      </w:r>
      <w:r w:rsidR="00E17EC5" w:rsidRPr="009863F2">
        <w:rPr>
          <w:rFonts w:ascii="Calibri Light" w:hAnsi="Calibri Light" w:cs="Arial"/>
          <w:sz w:val="24"/>
          <w:szCs w:val="24"/>
          <w:lang w:val="es-ES_tradnl"/>
        </w:rPr>
        <w:t xml:space="preserve">un </w:t>
      </w:r>
      <w:r w:rsidRPr="009863F2">
        <w:rPr>
          <w:rFonts w:ascii="Calibri Light" w:hAnsi="Calibri Light" w:cs="Arial"/>
          <w:sz w:val="24"/>
          <w:szCs w:val="24"/>
          <w:lang w:val="es-ES_tradnl"/>
        </w:rPr>
        <w:t xml:space="preserve">problema </w:t>
      </w:r>
      <w:r w:rsidR="00E17EC5" w:rsidRPr="009863F2">
        <w:rPr>
          <w:rFonts w:ascii="Calibri Light" w:hAnsi="Calibri Light" w:cs="Arial"/>
          <w:sz w:val="24"/>
          <w:szCs w:val="24"/>
          <w:lang w:val="es-ES_tradnl"/>
        </w:rPr>
        <w:t>existente en</w:t>
      </w:r>
      <w:r w:rsidRPr="009863F2">
        <w:rPr>
          <w:rFonts w:ascii="Calibri Light" w:hAnsi="Calibri Light" w:cs="Arial"/>
          <w:sz w:val="24"/>
          <w:szCs w:val="24"/>
          <w:lang w:val="es-ES_tradnl"/>
        </w:rPr>
        <w:t xml:space="preserve"> México</w:t>
      </w:r>
      <w:r w:rsidR="00E17EC5" w:rsidRPr="009863F2">
        <w:rPr>
          <w:rFonts w:ascii="Calibri Light" w:hAnsi="Calibri Light" w:cs="Arial"/>
          <w:sz w:val="24"/>
          <w:szCs w:val="24"/>
          <w:lang w:val="es-ES_tradnl"/>
        </w:rPr>
        <w:t xml:space="preserve">, a saber: que </w:t>
      </w:r>
      <w:r w:rsidRPr="009863F2">
        <w:rPr>
          <w:rFonts w:ascii="Calibri Light" w:hAnsi="Calibri Light" w:cs="Arial"/>
          <w:sz w:val="24"/>
          <w:szCs w:val="24"/>
          <w:lang w:val="es-ES_tradnl"/>
        </w:rPr>
        <w:t xml:space="preserve">el sector vivienda representa el 17% del total de la energía utilizada y </w:t>
      </w:r>
      <w:r w:rsidR="00E17EC5" w:rsidRPr="009863F2">
        <w:rPr>
          <w:rFonts w:ascii="Calibri Light" w:hAnsi="Calibri Light" w:cs="Arial"/>
          <w:sz w:val="24"/>
          <w:szCs w:val="24"/>
          <w:lang w:val="es-ES_tradnl"/>
        </w:rPr>
        <w:t xml:space="preserve">el </w:t>
      </w:r>
      <w:r w:rsidRPr="009863F2">
        <w:rPr>
          <w:rFonts w:ascii="Calibri Light" w:hAnsi="Calibri Light" w:cs="Arial"/>
          <w:sz w:val="24"/>
          <w:szCs w:val="24"/>
          <w:lang w:val="es-ES_tradnl"/>
        </w:rPr>
        <w:t>4,9% de las emisiones de CO2.</w:t>
      </w:r>
    </w:p>
    <w:p w14:paraId="01985BF1" w14:textId="77777777" w:rsidR="00BC6E70" w:rsidRPr="009863F2" w:rsidRDefault="00BC6E70" w:rsidP="009863F2">
      <w:pPr>
        <w:spacing w:after="0" w:line="240" w:lineRule="auto"/>
        <w:rPr>
          <w:rFonts w:ascii="Calibri Light" w:hAnsi="Calibri Light" w:cs="Arial"/>
          <w:sz w:val="24"/>
          <w:szCs w:val="24"/>
          <w:lang w:val="es-ES"/>
        </w:rPr>
      </w:pPr>
      <w:r w:rsidRPr="009863F2">
        <w:rPr>
          <w:rFonts w:ascii="Calibri Light" w:hAnsi="Calibri Light" w:cs="Arial"/>
          <w:sz w:val="24"/>
          <w:szCs w:val="24"/>
          <w:lang w:val="es-ES"/>
        </w:rPr>
        <w:br w:type="page"/>
      </w:r>
    </w:p>
    <w:p w14:paraId="4D0BD40A" w14:textId="762A888A" w:rsidR="00BC6E70" w:rsidRPr="009863F2" w:rsidRDefault="00BC6E70" w:rsidP="009863F2">
      <w:pPr>
        <w:pStyle w:val="Heading1"/>
        <w:numPr>
          <w:ilvl w:val="0"/>
          <w:numId w:val="1"/>
        </w:numPr>
        <w:spacing w:after="0" w:line="240" w:lineRule="auto"/>
        <w:contextualSpacing w:val="0"/>
        <w:rPr>
          <w:rFonts w:ascii="Calibri Light" w:hAnsi="Calibri Light" w:cs="Arial"/>
          <w:sz w:val="24"/>
          <w:szCs w:val="24"/>
        </w:rPr>
      </w:pPr>
      <w:bookmarkStart w:id="17" w:name="_Toc477773140"/>
      <w:bookmarkStart w:id="18" w:name="_Toc504406837"/>
      <w:r w:rsidRPr="009863F2">
        <w:rPr>
          <w:rFonts w:ascii="Calibri Light" w:hAnsi="Calibri Light" w:cs="Arial"/>
          <w:sz w:val="24"/>
          <w:szCs w:val="24"/>
        </w:rPr>
        <w:lastRenderedPageBreak/>
        <w:t xml:space="preserve">PROGRAMAS DE FINANCIAMIENTO DEL </w:t>
      </w:r>
      <w:r w:rsidR="00E17EC5" w:rsidRPr="009863F2">
        <w:rPr>
          <w:rFonts w:ascii="Calibri Light" w:hAnsi="Calibri Light" w:cs="Arial"/>
          <w:sz w:val="24"/>
          <w:szCs w:val="24"/>
        </w:rPr>
        <w:t xml:space="preserve">BID </w:t>
      </w:r>
      <w:r w:rsidRPr="009863F2">
        <w:rPr>
          <w:rFonts w:ascii="Calibri Light" w:hAnsi="Calibri Light" w:cs="Arial"/>
          <w:sz w:val="24"/>
          <w:szCs w:val="24"/>
        </w:rPr>
        <w:t>PARA LA BANCA PÚBLICA DE DESARROLLO</w:t>
      </w:r>
      <w:bookmarkEnd w:id="17"/>
      <w:bookmarkEnd w:id="18"/>
    </w:p>
    <w:p w14:paraId="3731462B" w14:textId="77777777" w:rsidR="00AB6E92" w:rsidRDefault="00AB6E92" w:rsidP="009863F2">
      <w:pPr>
        <w:spacing w:after="0" w:line="240" w:lineRule="auto"/>
        <w:jc w:val="both"/>
        <w:rPr>
          <w:rFonts w:ascii="Calibri Light" w:hAnsi="Calibri Light" w:cs="Arial"/>
          <w:sz w:val="24"/>
          <w:szCs w:val="24"/>
          <w:lang w:val="es-ES"/>
        </w:rPr>
      </w:pPr>
    </w:p>
    <w:p w14:paraId="59D252E8" w14:textId="2547310B" w:rsidR="00963FD6" w:rsidRPr="009863F2" w:rsidRDefault="00963FD6"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 xml:space="preserve">En general, los bancos públicos de desarrollo (BPD), como entidades financieras del Estado, tienen el mandato de fomentar el desarrollo socioeconómico a través del financiamiento de actividades económicas específicas. Es por esta razón que los BPD </w:t>
      </w:r>
      <w:r w:rsidR="00E03A72" w:rsidRPr="009863F2">
        <w:rPr>
          <w:rFonts w:ascii="Calibri Light" w:hAnsi="Calibri Light" w:cs="Arial"/>
          <w:sz w:val="24"/>
          <w:szCs w:val="24"/>
          <w:lang w:val="es-ES"/>
        </w:rPr>
        <w:t xml:space="preserve">desempeñan </w:t>
      </w:r>
      <w:r w:rsidRPr="009863F2">
        <w:rPr>
          <w:rFonts w:ascii="Calibri Light" w:hAnsi="Calibri Light" w:cs="Arial"/>
          <w:sz w:val="24"/>
          <w:szCs w:val="24"/>
          <w:lang w:val="es-ES"/>
        </w:rPr>
        <w:t xml:space="preserve">un papel fundamental en el desarrollo de sectores en donde la participación de la banca comercial </w:t>
      </w:r>
      <w:r w:rsidR="00E03A72" w:rsidRPr="009863F2">
        <w:rPr>
          <w:rFonts w:ascii="Calibri Light" w:hAnsi="Calibri Light" w:cs="Arial"/>
          <w:sz w:val="24"/>
          <w:szCs w:val="24"/>
          <w:lang w:val="es-ES"/>
        </w:rPr>
        <w:t xml:space="preserve">es </w:t>
      </w:r>
      <w:r w:rsidRPr="009863F2">
        <w:rPr>
          <w:rFonts w:ascii="Calibri Light" w:hAnsi="Calibri Light" w:cs="Arial"/>
          <w:sz w:val="24"/>
          <w:szCs w:val="24"/>
          <w:lang w:val="es-ES"/>
        </w:rPr>
        <w:t>tradicionalmente limitada, ya sea por fallas de mercado o por una alta percepción de</w:t>
      </w:r>
      <w:r w:rsidR="00E03A72" w:rsidRPr="009863F2">
        <w:rPr>
          <w:rFonts w:ascii="Calibri Light" w:hAnsi="Calibri Light" w:cs="Arial"/>
          <w:sz w:val="24"/>
          <w:szCs w:val="24"/>
          <w:lang w:val="es-ES"/>
        </w:rPr>
        <w:t>l</w:t>
      </w:r>
      <w:r w:rsidRPr="009863F2">
        <w:rPr>
          <w:rFonts w:ascii="Calibri Light" w:hAnsi="Calibri Light" w:cs="Arial"/>
          <w:sz w:val="24"/>
          <w:szCs w:val="24"/>
          <w:lang w:val="es-ES"/>
        </w:rPr>
        <w:t xml:space="preserve"> riesgo. Como se analizó en el capítulo anterior, tal es el caso del mercado de vivienda. </w:t>
      </w:r>
    </w:p>
    <w:p w14:paraId="2CE3BDCA" w14:textId="77777777" w:rsidR="00720634" w:rsidRDefault="00720634" w:rsidP="009863F2">
      <w:pPr>
        <w:spacing w:after="0" w:line="240" w:lineRule="auto"/>
        <w:jc w:val="both"/>
        <w:rPr>
          <w:rFonts w:ascii="Calibri Light" w:hAnsi="Calibri Light" w:cs="Arial"/>
          <w:sz w:val="24"/>
          <w:szCs w:val="24"/>
          <w:lang w:val="es-ES"/>
        </w:rPr>
      </w:pPr>
    </w:p>
    <w:p w14:paraId="74C37A53" w14:textId="168FFCD9" w:rsidR="00963FD6" w:rsidRPr="009863F2" w:rsidRDefault="00963FD6" w:rsidP="009863F2">
      <w:pPr>
        <w:spacing w:after="0" w:line="240" w:lineRule="auto"/>
        <w:jc w:val="both"/>
        <w:rPr>
          <w:rFonts w:ascii="Calibri Light" w:hAnsi="Calibri Light" w:cs="Arial"/>
          <w:color w:val="000000"/>
          <w:sz w:val="24"/>
          <w:szCs w:val="24"/>
          <w:shd w:val="clear" w:color="auto" w:fill="FFFFFF"/>
          <w:lang w:val="es-MX"/>
        </w:rPr>
      </w:pPr>
      <w:r w:rsidRPr="009863F2">
        <w:rPr>
          <w:rFonts w:ascii="Calibri Light" w:hAnsi="Calibri Light" w:cs="Arial"/>
          <w:sz w:val="24"/>
          <w:szCs w:val="24"/>
          <w:lang w:val="es-ES"/>
        </w:rPr>
        <w:t xml:space="preserve">En ALC, existen varios BPD especializados en el sector vivienda, tales como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SHF e </w:t>
      </w:r>
      <w:r w:rsidR="00E03A72" w:rsidRPr="009863F2">
        <w:rPr>
          <w:rFonts w:ascii="Calibri Light" w:hAnsi="Calibri Light" w:cs="Arial"/>
          <w:sz w:val="24"/>
          <w:szCs w:val="24"/>
          <w:lang w:val="es-ES"/>
        </w:rPr>
        <w:t xml:space="preserve">Infonavit </w:t>
      </w:r>
      <w:r w:rsidRPr="009863F2">
        <w:rPr>
          <w:rFonts w:ascii="Calibri Light" w:hAnsi="Calibri Light" w:cs="Arial"/>
          <w:sz w:val="24"/>
          <w:szCs w:val="24"/>
          <w:lang w:val="es-ES"/>
        </w:rPr>
        <w:t xml:space="preserve">en México,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Fondo Mivivienda en Perú,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Banco Hipotecario Nacional en Panamá,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Banco Hipotecario de la Vivienda </w:t>
      </w:r>
      <w:r w:rsidR="00E03A72" w:rsidRPr="009863F2">
        <w:rPr>
          <w:rFonts w:ascii="Calibri Light" w:hAnsi="Calibri Light" w:cs="Arial"/>
          <w:sz w:val="24"/>
          <w:szCs w:val="24"/>
          <w:lang w:val="es-ES"/>
        </w:rPr>
        <w:t xml:space="preserve">de </w:t>
      </w:r>
      <w:r w:rsidRPr="009863F2">
        <w:rPr>
          <w:rFonts w:ascii="Calibri Light" w:hAnsi="Calibri Light" w:cs="Arial"/>
          <w:sz w:val="24"/>
          <w:szCs w:val="24"/>
          <w:lang w:val="es-ES"/>
        </w:rPr>
        <w:t xml:space="preserve">Costa Rica, y </w:t>
      </w:r>
      <w:r w:rsidR="00E03A72" w:rsidRPr="009863F2">
        <w:rPr>
          <w:rFonts w:ascii="Calibri Light" w:hAnsi="Calibri Light" w:cs="Arial"/>
          <w:sz w:val="24"/>
          <w:szCs w:val="24"/>
          <w:lang w:val="es-ES"/>
        </w:rPr>
        <w:t xml:space="preserve">el Banhprovi </w:t>
      </w:r>
      <w:r w:rsidRPr="009863F2">
        <w:rPr>
          <w:rFonts w:ascii="Calibri Light" w:hAnsi="Calibri Light" w:cs="Arial"/>
          <w:sz w:val="24"/>
          <w:szCs w:val="24"/>
          <w:lang w:val="es-ES"/>
        </w:rPr>
        <w:t xml:space="preserve">en Honduras. Asimismo, existen varios BPD multisectoriales que atienden </w:t>
      </w:r>
      <w:r w:rsidR="00E03A72" w:rsidRPr="009863F2">
        <w:rPr>
          <w:rFonts w:ascii="Calibri Light" w:hAnsi="Calibri Light" w:cs="Arial"/>
          <w:sz w:val="24"/>
          <w:szCs w:val="24"/>
          <w:lang w:val="es-ES"/>
        </w:rPr>
        <w:t xml:space="preserve">a </w:t>
      </w:r>
      <w:r w:rsidRPr="009863F2">
        <w:rPr>
          <w:rFonts w:ascii="Calibri Light" w:hAnsi="Calibri Light" w:cs="Arial"/>
          <w:sz w:val="24"/>
          <w:szCs w:val="24"/>
          <w:lang w:val="es-ES"/>
        </w:rPr>
        <w:t>la vivienda, como es el caso de</w:t>
      </w:r>
      <w:r w:rsidR="00E03A72" w:rsidRPr="009863F2">
        <w:rPr>
          <w:rFonts w:ascii="Calibri Light" w:hAnsi="Calibri Light" w:cs="Arial"/>
          <w:sz w:val="24"/>
          <w:szCs w:val="24"/>
          <w:lang w:val="es-ES"/>
        </w:rPr>
        <w:t>l</w:t>
      </w:r>
      <w:r w:rsidRPr="009863F2">
        <w:rPr>
          <w:rFonts w:ascii="Calibri Light" w:hAnsi="Calibri Light" w:cs="Arial"/>
          <w:sz w:val="24"/>
          <w:szCs w:val="24"/>
          <w:lang w:val="es-ES"/>
        </w:rPr>
        <w:t xml:space="preserve"> Findeter en Colombia, </w:t>
      </w:r>
      <w:r w:rsidR="00E03A72" w:rsidRPr="009863F2">
        <w:rPr>
          <w:rFonts w:ascii="Calibri Light" w:hAnsi="Calibri Light" w:cs="Arial"/>
          <w:sz w:val="24"/>
          <w:szCs w:val="24"/>
          <w:lang w:val="es-ES"/>
        </w:rPr>
        <w:t xml:space="preserve">la </w:t>
      </w:r>
      <w:r w:rsidRPr="009863F2">
        <w:rPr>
          <w:rFonts w:ascii="Calibri Light" w:hAnsi="Calibri Light" w:cs="Arial"/>
          <w:sz w:val="24"/>
          <w:szCs w:val="24"/>
          <w:lang w:val="es-ES"/>
        </w:rPr>
        <w:t xml:space="preserve">AFD en Paraguay,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BNDES en Brasil,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BROU en Uruguay,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Bandesal en El Salvador,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 xml:space="preserve">Banco Estado en Chile, y </w:t>
      </w:r>
      <w:r w:rsidR="00E03A72" w:rsidRPr="009863F2">
        <w:rPr>
          <w:rFonts w:ascii="Calibri Light" w:hAnsi="Calibri Light" w:cs="Arial"/>
          <w:sz w:val="24"/>
          <w:szCs w:val="24"/>
          <w:lang w:val="es-ES"/>
        </w:rPr>
        <w:t xml:space="preserve">el </w:t>
      </w:r>
      <w:r w:rsidRPr="009863F2">
        <w:rPr>
          <w:rFonts w:ascii="Calibri Light" w:hAnsi="Calibri Light" w:cs="Arial"/>
          <w:sz w:val="24"/>
          <w:szCs w:val="24"/>
          <w:lang w:val="es-ES"/>
        </w:rPr>
        <w:t>Banco de Desarrollo del Ecuador.</w:t>
      </w:r>
    </w:p>
    <w:p w14:paraId="501914AB" w14:textId="77777777" w:rsidR="00720634" w:rsidRDefault="00720634" w:rsidP="009863F2">
      <w:pPr>
        <w:spacing w:after="0" w:line="240" w:lineRule="auto"/>
        <w:jc w:val="both"/>
        <w:rPr>
          <w:rFonts w:ascii="Calibri Light" w:hAnsi="Calibri Light" w:cs="Arial"/>
          <w:sz w:val="24"/>
          <w:szCs w:val="24"/>
          <w:lang w:val="es-ES"/>
        </w:rPr>
      </w:pPr>
    </w:p>
    <w:p w14:paraId="0A38BF83" w14:textId="18109B0E" w:rsidR="002531DA" w:rsidRPr="009863F2" w:rsidRDefault="00963FD6" w:rsidP="009863F2">
      <w:pPr>
        <w:spacing w:after="0" w:line="240" w:lineRule="auto"/>
        <w:jc w:val="both"/>
        <w:rPr>
          <w:rFonts w:ascii="Calibri Light" w:hAnsi="Calibri Light" w:cs="Arial"/>
          <w:noProof/>
          <w:sz w:val="24"/>
          <w:szCs w:val="24"/>
          <w:lang w:val="es-ES_tradnl"/>
        </w:rPr>
      </w:pPr>
      <w:r w:rsidRPr="009863F2">
        <w:rPr>
          <w:rFonts w:ascii="Calibri Light" w:hAnsi="Calibri Light" w:cs="Arial"/>
          <w:sz w:val="24"/>
          <w:szCs w:val="24"/>
          <w:lang w:val="es-ES"/>
        </w:rPr>
        <w:t xml:space="preserve">El </w:t>
      </w:r>
      <w:bookmarkStart w:id="19" w:name="_Hlk504461254"/>
      <w:r w:rsidRPr="009863F2">
        <w:rPr>
          <w:rFonts w:ascii="Calibri Light" w:hAnsi="Calibri Light" w:cs="Arial"/>
          <w:sz w:val="24"/>
          <w:szCs w:val="24"/>
          <w:lang w:val="es-ES"/>
        </w:rPr>
        <w:t xml:space="preserve">BID cuenta con un vasto conocimiento sobre la problemática y las necesidades específicas del sector en ALC, así como </w:t>
      </w:r>
      <w:r w:rsidR="00E03A72" w:rsidRPr="009863F2">
        <w:rPr>
          <w:rFonts w:ascii="Calibri Light" w:hAnsi="Calibri Light" w:cs="Arial"/>
          <w:sz w:val="24"/>
          <w:szCs w:val="24"/>
          <w:lang w:val="es-ES"/>
        </w:rPr>
        <w:t xml:space="preserve">también </w:t>
      </w:r>
      <w:r w:rsidRPr="009863F2">
        <w:rPr>
          <w:rFonts w:ascii="Calibri Light" w:hAnsi="Calibri Light" w:cs="Arial"/>
          <w:sz w:val="24"/>
          <w:szCs w:val="24"/>
          <w:lang w:val="es-ES"/>
        </w:rPr>
        <w:t xml:space="preserve">con una </w:t>
      </w:r>
      <w:r w:rsidR="00E03A72" w:rsidRPr="009863F2">
        <w:rPr>
          <w:rFonts w:ascii="Calibri Light" w:hAnsi="Calibri Light" w:cs="Arial"/>
          <w:sz w:val="24"/>
          <w:szCs w:val="24"/>
          <w:lang w:val="es-ES"/>
        </w:rPr>
        <w:t xml:space="preserve">extensa </w:t>
      </w:r>
      <w:r w:rsidRPr="009863F2">
        <w:rPr>
          <w:rFonts w:ascii="Calibri Light" w:hAnsi="Calibri Light" w:cs="Arial"/>
          <w:sz w:val="24"/>
          <w:szCs w:val="24"/>
          <w:lang w:val="es-ES"/>
        </w:rPr>
        <w:t xml:space="preserve">experiencia </w:t>
      </w:r>
      <w:r w:rsidR="00E03A72" w:rsidRPr="009863F2">
        <w:rPr>
          <w:rFonts w:ascii="Calibri Light" w:hAnsi="Calibri Light" w:cs="Arial"/>
          <w:sz w:val="24"/>
          <w:szCs w:val="24"/>
          <w:lang w:val="es-ES"/>
        </w:rPr>
        <w:t>en materia de asesoramiento</w:t>
      </w:r>
      <w:r w:rsidRPr="009863F2">
        <w:rPr>
          <w:rFonts w:ascii="Calibri Light" w:hAnsi="Calibri Light" w:cs="Arial"/>
          <w:sz w:val="24"/>
          <w:szCs w:val="24"/>
          <w:lang w:val="es-ES"/>
        </w:rPr>
        <w:t>, desarroll</w:t>
      </w:r>
      <w:r w:rsidR="00E03A72" w:rsidRPr="009863F2">
        <w:rPr>
          <w:rFonts w:ascii="Calibri Light" w:hAnsi="Calibri Light" w:cs="Arial"/>
          <w:sz w:val="24"/>
          <w:szCs w:val="24"/>
          <w:lang w:val="es-ES"/>
        </w:rPr>
        <w:t>o</w:t>
      </w:r>
      <w:r w:rsidRPr="009863F2">
        <w:rPr>
          <w:rFonts w:ascii="Calibri Light" w:hAnsi="Calibri Light" w:cs="Arial"/>
          <w:sz w:val="24"/>
          <w:szCs w:val="24"/>
          <w:lang w:val="es-ES"/>
        </w:rPr>
        <w:t xml:space="preserve"> y </w:t>
      </w:r>
      <w:r w:rsidR="00E03A72" w:rsidRPr="009863F2">
        <w:rPr>
          <w:rFonts w:ascii="Calibri Light" w:hAnsi="Calibri Light" w:cs="Arial"/>
          <w:sz w:val="24"/>
          <w:szCs w:val="24"/>
          <w:lang w:val="es-ES"/>
        </w:rPr>
        <w:t xml:space="preserve">otorgamiento de fondos para </w:t>
      </w:r>
      <w:r w:rsidRPr="009863F2">
        <w:rPr>
          <w:rFonts w:ascii="Calibri Light" w:hAnsi="Calibri Light" w:cs="Arial"/>
          <w:sz w:val="24"/>
          <w:szCs w:val="24"/>
          <w:lang w:val="es-ES"/>
        </w:rPr>
        <w:t>distintos programas de financiamiento para el mercado de vivienda</w:t>
      </w:r>
      <w:r w:rsidRPr="009863F2">
        <w:rPr>
          <w:rFonts w:ascii="Calibri Light" w:hAnsi="Calibri Light" w:cs="Arial"/>
          <w:sz w:val="24"/>
          <w:szCs w:val="24"/>
          <w:vertAlign w:val="superscript"/>
          <w:lang w:val="es-ES"/>
        </w:rPr>
        <w:footnoteReference w:id="19"/>
      </w:r>
      <w:r w:rsidRPr="009863F2">
        <w:rPr>
          <w:rFonts w:ascii="Calibri Light" w:hAnsi="Calibri Light" w:cs="Arial"/>
          <w:sz w:val="24"/>
          <w:szCs w:val="24"/>
          <w:lang w:val="es-ES"/>
        </w:rPr>
        <w:t xml:space="preserve">. De esta forma, el Banco hace uso de sus instrumentos de financiamiento, garantía y asistencia técnica para apoyar a los BPD de la región </w:t>
      </w:r>
      <w:r w:rsidR="00E03A72" w:rsidRPr="009863F2">
        <w:rPr>
          <w:rFonts w:ascii="Calibri Light" w:hAnsi="Calibri Light" w:cs="Arial"/>
          <w:sz w:val="24"/>
          <w:szCs w:val="24"/>
          <w:lang w:val="es-ES"/>
        </w:rPr>
        <w:t xml:space="preserve">de modo que puedan </w:t>
      </w:r>
      <w:r w:rsidRPr="009863F2">
        <w:rPr>
          <w:rFonts w:ascii="Calibri Light" w:hAnsi="Calibri Light" w:cs="Arial"/>
          <w:sz w:val="24"/>
          <w:szCs w:val="24"/>
          <w:lang w:val="es-ES"/>
        </w:rPr>
        <w:t xml:space="preserve">lograr los objetivos que se </w:t>
      </w:r>
      <w:r w:rsidR="00E03A72" w:rsidRPr="009863F2">
        <w:rPr>
          <w:rFonts w:ascii="Calibri Light" w:hAnsi="Calibri Light" w:cs="Arial"/>
          <w:sz w:val="24"/>
          <w:szCs w:val="24"/>
          <w:lang w:val="es-ES"/>
        </w:rPr>
        <w:t xml:space="preserve">detallan </w:t>
      </w:r>
      <w:r w:rsidRPr="009863F2">
        <w:rPr>
          <w:rFonts w:ascii="Calibri Light" w:hAnsi="Calibri Light" w:cs="Arial"/>
          <w:sz w:val="24"/>
          <w:szCs w:val="24"/>
          <w:lang w:val="es-ES"/>
        </w:rPr>
        <w:t>a continuación.</w:t>
      </w:r>
    </w:p>
    <w:bookmarkEnd w:id="19"/>
    <w:p w14:paraId="10F98D53" w14:textId="77777777" w:rsidR="00720634" w:rsidRDefault="00720634" w:rsidP="009863F2">
      <w:pPr>
        <w:spacing w:after="0" w:line="240" w:lineRule="auto"/>
        <w:jc w:val="both"/>
        <w:rPr>
          <w:rFonts w:ascii="Calibri Light" w:hAnsi="Calibri Light" w:cs="Arial"/>
          <w:sz w:val="24"/>
          <w:szCs w:val="24"/>
          <w:lang w:val="es-ES"/>
        </w:rPr>
      </w:pPr>
    </w:p>
    <w:p w14:paraId="3E17B3B8" w14:textId="42D8C48F" w:rsidR="00963FD6" w:rsidRPr="009863F2" w:rsidRDefault="005666B0" w:rsidP="009863F2">
      <w:pPr>
        <w:spacing w:after="0" w:line="240" w:lineRule="auto"/>
        <w:jc w:val="both"/>
        <w:rPr>
          <w:rFonts w:ascii="Calibri Light" w:hAnsi="Calibri Light" w:cs="Arial"/>
          <w:sz w:val="24"/>
          <w:szCs w:val="24"/>
          <w:lang w:val="es-ES"/>
        </w:rPr>
      </w:pPr>
      <w:r w:rsidRPr="009863F2">
        <w:rPr>
          <w:rFonts w:ascii="Calibri Light" w:hAnsi="Calibri Light" w:cs="Arial"/>
          <w:sz w:val="24"/>
          <w:szCs w:val="24"/>
          <w:lang w:val="es-ES"/>
        </w:rPr>
        <w:t>El g</w:t>
      </w:r>
      <w:r w:rsidR="00BE7992" w:rsidRPr="009863F2">
        <w:rPr>
          <w:rFonts w:ascii="Calibri Light" w:hAnsi="Calibri Light" w:cs="Arial"/>
          <w:sz w:val="24"/>
          <w:szCs w:val="24"/>
          <w:lang w:val="es-ES"/>
        </w:rPr>
        <w:t xml:space="preserve">ráfico 3 </w:t>
      </w:r>
      <w:r w:rsidR="00786221" w:rsidRPr="009863F2">
        <w:rPr>
          <w:rFonts w:ascii="Calibri Light" w:hAnsi="Calibri Light" w:cs="Arial"/>
          <w:sz w:val="24"/>
          <w:szCs w:val="24"/>
          <w:lang w:val="es-ES"/>
        </w:rPr>
        <w:t xml:space="preserve">ofrece </w:t>
      </w:r>
      <w:r w:rsidR="00BE7992" w:rsidRPr="009863F2">
        <w:rPr>
          <w:rFonts w:ascii="Calibri Light" w:hAnsi="Calibri Light" w:cs="Arial"/>
          <w:sz w:val="24"/>
          <w:szCs w:val="24"/>
          <w:lang w:val="es-ES"/>
        </w:rPr>
        <w:t xml:space="preserve">una visión integrada de los mercados para </w:t>
      </w:r>
      <w:r w:rsidR="00E03A72" w:rsidRPr="009863F2">
        <w:rPr>
          <w:rFonts w:ascii="Calibri Light" w:hAnsi="Calibri Light" w:cs="Arial"/>
          <w:sz w:val="24"/>
          <w:szCs w:val="24"/>
          <w:lang w:val="es-ES"/>
        </w:rPr>
        <w:t>el financiamiento</w:t>
      </w:r>
      <w:r w:rsidR="00BE7992" w:rsidRPr="009863F2">
        <w:rPr>
          <w:rFonts w:ascii="Calibri Light" w:hAnsi="Calibri Light" w:cs="Arial"/>
          <w:sz w:val="24"/>
          <w:szCs w:val="24"/>
          <w:lang w:val="es-ES"/>
        </w:rPr>
        <w:t xml:space="preserve"> de la vivienda y los beneficiarios </w:t>
      </w:r>
      <w:r w:rsidR="00786221" w:rsidRPr="009863F2">
        <w:rPr>
          <w:rFonts w:ascii="Calibri Light" w:hAnsi="Calibri Light" w:cs="Arial"/>
          <w:sz w:val="24"/>
          <w:szCs w:val="24"/>
          <w:lang w:val="es-ES"/>
        </w:rPr>
        <w:t xml:space="preserve">tanto </w:t>
      </w:r>
      <w:r w:rsidR="00BE7992" w:rsidRPr="009863F2">
        <w:rPr>
          <w:rFonts w:ascii="Calibri Light" w:hAnsi="Calibri Light" w:cs="Arial"/>
          <w:sz w:val="24"/>
          <w:szCs w:val="24"/>
          <w:lang w:val="es-ES"/>
        </w:rPr>
        <w:t xml:space="preserve">intermedios (desarrolladores) </w:t>
      </w:r>
      <w:r w:rsidR="00786221" w:rsidRPr="009863F2">
        <w:rPr>
          <w:rFonts w:ascii="Calibri Light" w:hAnsi="Calibri Light" w:cs="Arial"/>
          <w:sz w:val="24"/>
          <w:szCs w:val="24"/>
          <w:lang w:val="es-ES"/>
        </w:rPr>
        <w:t xml:space="preserve">como </w:t>
      </w:r>
      <w:r w:rsidR="00BE7992" w:rsidRPr="009863F2">
        <w:rPr>
          <w:rFonts w:ascii="Calibri Light" w:hAnsi="Calibri Light" w:cs="Arial"/>
          <w:sz w:val="24"/>
          <w:szCs w:val="24"/>
          <w:lang w:val="es-ES"/>
        </w:rPr>
        <w:t>finales (usuario</w:t>
      </w:r>
      <w:r w:rsidR="00786221" w:rsidRPr="009863F2">
        <w:rPr>
          <w:rFonts w:ascii="Calibri Light" w:hAnsi="Calibri Light" w:cs="Arial"/>
          <w:sz w:val="24"/>
          <w:szCs w:val="24"/>
          <w:lang w:val="es-ES"/>
        </w:rPr>
        <w:t xml:space="preserve"> final</w:t>
      </w:r>
      <w:r w:rsidR="00BE7992" w:rsidRPr="009863F2">
        <w:rPr>
          <w:rFonts w:ascii="Calibri Light" w:hAnsi="Calibri Light" w:cs="Arial"/>
          <w:sz w:val="24"/>
          <w:szCs w:val="24"/>
          <w:lang w:val="es-ES"/>
        </w:rPr>
        <w:t>)</w:t>
      </w:r>
      <w:r w:rsidR="00786221" w:rsidRPr="009863F2">
        <w:rPr>
          <w:rFonts w:ascii="Calibri Light" w:hAnsi="Calibri Light" w:cs="Arial"/>
          <w:sz w:val="24"/>
          <w:szCs w:val="24"/>
          <w:lang w:val="es-ES"/>
        </w:rPr>
        <w:t xml:space="preserve">, así como de </w:t>
      </w:r>
      <w:r w:rsidR="00BE7992" w:rsidRPr="009863F2">
        <w:rPr>
          <w:rFonts w:ascii="Calibri Light" w:hAnsi="Calibri Light" w:cs="Arial"/>
          <w:sz w:val="24"/>
          <w:szCs w:val="24"/>
          <w:lang w:val="es-ES"/>
        </w:rPr>
        <w:t>las herramientas disponibles para intervenir brindando soluciones</w:t>
      </w:r>
      <w:r w:rsidR="00E03A72" w:rsidRPr="009863F2">
        <w:rPr>
          <w:rFonts w:ascii="Calibri Light" w:hAnsi="Calibri Light" w:cs="Arial"/>
          <w:sz w:val="24"/>
          <w:szCs w:val="24"/>
          <w:lang w:val="es-ES"/>
        </w:rPr>
        <w:t xml:space="preserve"> adecuadas</w:t>
      </w:r>
      <w:r w:rsidR="00BE7992" w:rsidRPr="009863F2">
        <w:rPr>
          <w:rFonts w:ascii="Calibri Light" w:hAnsi="Calibri Light" w:cs="Arial"/>
          <w:sz w:val="24"/>
          <w:szCs w:val="24"/>
          <w:lang w:val="es-ES"/>
        </w:rPr>
        <w:t xml:space="preserve"> para cada caso y cada situación en particular.</w:t>
      </w:r>
    </w:p>
    <w:p w14:paraId="2E557644" w14:textId="77777777" w:rsidR="00971CF6" w:rsidRPr="009863F2" w:rsidRDefault="00971CF6" w:rsidP="009863F2">
      <w:pPr>
        <w:spacing w:after="0" w:line="240" w:lineRule="auto"/>
        <w:jc w:val="both"/>
        <w:rPr>
          <w:rFonts w:ascii="Calibri Light" w:hAnsi="Calibri Light" w:cs="Arial"/>
          <w:sz w:val="24"/>
          <w:szCs w:val="24"/>
          <w:lang w:val="es-ES"/>
        </w:rPr>
      </w:pPr>
    </w:p>
    <w:p w14:paraId="0340EFA1" w14:textId="45B6825C" w:rsidR="00971CF6" w:rsidRPr="009863F2" w:rsidRDefault="00971CF6" w:rsidP="009863F2">
      <w:pPr>
        <w:spacing w:after="0" w:line="240" w:lineRule="auto"/>
        <w:jc w:val="center"/>
        <w:rPr>
          <w:rFonts w:ascii="Calibri Light" w:hAnsi="Calibri Light" w:cs="Arial"/>
          <w:sz w:val="24"/>
          <w:szCs w:val="24"/>
          <w:lang w:val="es-ES"/>
        </w:rPr>
      </w:pPr>
      <w:r w:rsidRPr="009863F2">
        <w:rPr>
          <w:rFonts w:ascii="Calibri Light" w:hAnsi="Calibri Light"/>
          <w:noProof/>
          <w:sz w:val="24"/>
          <w:szCs w:val="24"/>
        </w:rPr>
        <w:lastRenderedPageBreak/>
        <w:drawing>
          <wp:inline distT="0" distB="0" distL="0" distR="0" wp14:anchorId="21858F07" wp14:editId="40AA5030">
            <wp:extent cx="3770269" cy="2826131"/>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0269" cy="2826131"/>
                    </a:xfrm>
                    <a:prstGeom prst="rect">
                      <a:avLst/>
                    </a:prstGeom>
                    <a:noFill/>
                    <a:ln>
                      <a:noFill/>
                    </a:ln>
                  </pic:spPr>
                </pic:pic>
              </a:graphicData>
            </a:graphic>
          </wp:inline>
        </w:drawing>
      </w:r>
    </w:p>
    <w:p w14:paraId="2E567D5A" w14:textId="77777777" w:rsidR="00963FD6" w:rsidRPr="009863F2" w:rsidRDefault="00963FD6" w:rsidP="009863F2">
      <w:pPr>
        <w:pStyle w:val="Heading2"/>
        <w:numPr>
          <w:ilvl w:val="1"/>
          <w:numId w:val="1"/>
        </w:numPr>
        <w:spacing w:before="0" w:line="240" w:lineRule="auto"/>
        <w:rPr>
          <w:rFonts w:ascii="Calibri Light" w:hAnsi="Calibri Light" w:cs="Arial"/>
          <w:b w:val="0"/>
          <w:szCs w:val="24"/>
          <w:lang w:val="es-ES_tradnl"/>
        </w:rPr>
      </w:pPr>
      <w:bookmarkStart w:id="20" w:name="_Toc504406838"/>
      <w:r w:rsidRPr="009863F2">
        <w:rPr>
          <w:rFonts w:ascii="Calibri Light" w:hAnsi="Calibri Light" w:cs="Arial"/>
          <w:szCs w:val="24"/>
          <w:lang w:val="es-ES_tradnl"/>
        </w:rPr>
        <w:t>Promover y profundizar la participación del mercado de capitales y las instituciones financieras</w:t>
      </w:r>
      <w:bookmarkEnd w:id="20"/>
    </w:p>
    <w:p w14:paraId="5CB80ACA" w14:textId="77777777" w:rsidR="00720634" w:rsidRDefault="00720634" w:rsidP="00720634">
      <w:pPr>
        <w:pStyle w:val="ListParagraph"/>
        <w:spacing w:after="0" w:line="240" w:lineRule="auto"/>
        <w:ind w:left="810"/>
        <w:contextualSpacing w:val="0"/>
        <w:jc w:val="both"/>
        <w:rPr>
          <w:rFonts w:ascii="Calibri Light" w:hAnsi="Calibri Light" w:cs="Arial"/>
          <w:sz w:val="24"/>
          <w:szCs w:val="24"/>
          <w:lang w:val="es-ES"/>
        </w:rPr>
      </w:pPr>
    </w:p>
    <w:p w14:paraId="4713A190" w14:textId="3EF1C8FB" w:rsidR="00963FD6" w:rsidRPr="009863F2" w:rsidRDefault="00963FD6" w:rsidP="009863F2">
      <w:pPr>
        <w:pStyle w:val="ListParagraph"/>
        <w:numPr>
          <w:ilvl w:val="0"/>
          <w:numId w:val="26"/>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Programas para que la regulación permita que el mercado de capitales funcione de manera objetiva y transparente en la titularización de créditos hipotecarios.</w:t>
      </w:r>
    </w:p>
    <w:p w14:paraId="5729F02C" w14:textId="77777777" w:rsidR="00963FD6" w:rsidRPr="009863F2" w:rsidRDefault="00963FD6" w:rsidP="009863F2">
      <w:pPr>
        <w:pStyle w:val="ListParagraph"/>
        <w:numPr>
          <w:ilvl w:val="0"/>
          <w:numId w:val="26"/>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Programas para apoyar el desarrollo de un mercado secundario de hipotecas a través de formadores de mercado que compren títulos securitizados, para promover una oferta y demanda en el mercado, que genere precios objetivos.</w:t>
      </w:r>
    </w:p>
    <w:p w14:paraId="7EEFA02C" w14:textId="01DE154D" w:rsidR="00963FD6" w:rsidRDefault="00963FD6" w:rsidP="009863F2">
      <w:pPr>
        <w:pStyle w:val="ListParagraph"/>
        <w:numPr>
          <w:ilvl w:val="0"/>
          <w:numId w:val="26"/>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diseñar garantías </w:t>
      </w:r>
      <w:r w:rsidR="00B50E79" w:rsidRPr="009863F2">
        <w:rPr>
          <w:rFonts w:ascii="Calibri Light" w:hAnsi="Calibri Light" w:cs="Arial"/>
          <w:sz w:val="24"/>
          <w:szCs w:val="24"/>
          <w:lang w:val="es-ES"/>
        </w:rPr>
        <w:t xml:space="preserve">orientadas a </w:t>
      </w:r>
      <w:r w:rsidRPr="009863F2">
        <w:rPr>
          <w:rFonts w:ascii="Calibri Light" w:hAnsi="Calibri Light" w:cs="Arial"/>
          <w:sz w:val="24"/>
          <w:szCs w:val="24"/>
          <w:lang w:val="es-ES"/>
        </w:rPr>
        <w:t>minimizar el riesgo crediticio de las emisiones en el mercado de capitales.</w:t>
      </w:r>
    </w:p>
    <w:p w14:paraId="3FE3E6B1" w14:textId="77777777" w:rsidR="004E7DCF" w:rsidRPr="009863F2" w:rsidRDefault="004E7DCF" w:rsidP="004E7DCF">
      <w:pPr>
        <w:pStyle w:val="ListParagraph"/>
        <w:spacing w:after="0" w:line="240" w:lineRule="auto"/>
        <w:ind w:left="810"/>
        <w:contextualSpacing w:val="0"/>
        <w:jc w:val="both"/>
        <w:rPr>
          <w:rFonts w:ascii="Calibri Light" w:hAnsi="Calibri Light" w:cs="Arial"/>
          <w:sz w:val="24"/>
          <w:szCs w:val="24"/>
          <w:lang w:val="es-ES"/>
        </w:rPr>
      </w:pPr>
      <w:bookmarkStart w:id="21" w:name="_GoBack"/>
      <w:bookmarkEnd w:id="21"/>
    </w:p>
    <w:p w14:paraId="49E0B02B" w14:textId="4D23E661" w:rsidR="00963FD6" w:rsidRPr="009863F2" w:rsidRDefault="00963FD6" w:rsidP="009863F2">
      <w:pPr>
        <w:pStyle w:val="Heading2"/>
        <w:numPr>
          <w:ilvl w:val="1"/>
          <w:numId w:val="1"/>
        </w:numPr>
        <w:spacing w:before="0" w:line="240" w:lineRule="auto"/>
        <w:rPr>
          <w:rFonts w:ascii="Calibri Light" w:hAnsi="Calibri Light" w:cs="Arial"/>
          <w:b w:val="0"/>
          <w:szCs w:val="24"/>
          <w:lang w:val="es-ES_tradnl"/>
        </w:rPr>
      </w:pPr>
      <w:bookmarkStart w:id="22" w:name="_Toc504406839"/>
      <w:r w:rsidRPr="009863F2">
        <w:rPr>
          <w:rFonts w:ascii="Calibri Light" w:hAnsi="Calibri Light" w:cs="Arial"/>
          <w:szCs w:val="24"/>
          <w:lang w:val="es-ES_tradnl"/>
        </w:rPr>
        <w:t>Promover el acceso a</w:t>
      </w:r>
      <w:r w:rsidR="00B50E79" w:rsidRPr="009863F2">
        <w:rPr>
          <w:rFonts w:ascii="Calibri Light" w:hAnsi="Calibri Light" w:cs="Arial"/>
          <w:szCs w:val="24"/>
          <w:lang w:val="es-ES_tradnl"/>
        </w:rPr>
        <w:t xml:space="preserve"> la</w:t>
      </w:r>
      <w:r w:rsidRPr="009863F2">
        <w:rPr>
          <w:rFonts w:ascii="Calibri Light" w:hAnsi="Calibri Light" w:cs="Arial"/>
          <w:szCs w:val="24"/>
          <w:lang w:val="es-ES_tradnl"/>
        </w:rPr>
        <w:t xml:space="preserve"> vivienda</w:t>
      </w:r>
      <w:bookmarkEnd w:id="22"/>
    </w:p>
    <w:p w14:paraId="055C1B20" w14:textId="77777777" w:rsidR="00720634" w:rsidRDefault="00720634" w:rsidP="00720634">
      <w:pPr>
        <w:pStyle w:val="ListParagraph"/>
        <w:spacing w:after="0" w:line="240" w:lineRule="auto"/>
        <w:ind w:left="810"/>
        <w:contextualSpacing w:val="0"/>
        <w:jc w:val="both"/>
        <w:rPr>
          <w:rFonts w:ascii="Calibri Light" w:hAnsi="Calibri Light" w:cs="Arial"/>
          <w:sz w:val="24"/>
          <w:szCs w:val="24"/>
          <w:lang w:val="es-ES"/>
        </w:rPr>
      </w:pPr>
    </w:p>
    <w:p w14:paraId="4BD348F2" w14:textId="768C7471" w:rsidR="00963FD6" w:rsidRPr="009863F2" w:rsidRDefault="00963FD6" w:rsidP="009863F2">
      <w:pPr>
        <w:pStyle w:val="ListParagraph"/>
        <w:numPr>
          <w:ilvl w:val="0"/>
          <w:numId w:val="32"/>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Programas para impulsar el crédito a largo plazo a través de la banca comercial</w:t>
      </w:r>
      <w:r w:rsidR="0025772E" w:rsidRPr="009863F2">
        <w:rPr>
          <w:rFonts w:ascii="Calibri Light" w:hAnsi="Calibri Light" w:cs="Arial"/>
          <w:sz w:val="24"/>
          <w:szCs w:val="24"/>
          <w:lang w:val="es-ES"/>
        </w:rPr>
        <w:t xml:space="preserve">, que </w:t>
      </w:r>
      <w:r w:rsidR="00B50E79" w:rsidRPr="009863F2">
        <w:rPr>
          <w:rFonts w:ascii="Calibri Light" w:hAnsi="Calibri Light" w:cs="Arial"/>
          <w:sz w:val="24"/>
          <w:szCs w:val="24"/>
          <w:lang w:val="es-ES"/>
        </w:rPr>
        <w:t xml:space="preserve">podrían </w:t>
      </w:r>
      <w:r w:rsidR="0025772E" w:rsidRPr="009863F2">
        <w:rPr>
          <w:rFonts w:ascii="Calibri Light" w:hAnsi="Calibri Light" w:cs="Arial"/>
          <w:sz w:val="24"/>
          <w:szCs w:val="24"/>
          <w:lang w:val="es-ES"/>
        </w:rPr>
        <w:t>incluir un componente de ahorro con participación del gobierno</w:t>
      </w:r>
      <w:r w:rsidRPr="009863F2">
        <w:rPr>
          <w:rFonts w:ascii="Calibri Light" w:hAnsi="Calibri Light" w:cs="Arial"/>
          <w:sz w:val="24"/>
          <w:szCs w:val="24"/>
          <w:lang w:val="es-ES"/>
        </w:rPr>
        <w:t>.</w:t>
      </w:r>
    </w:p>
    <w:p w14:paraId="03A25844" w14:textId="77777777" w:rsidR="00963FD6" w:rsidRPr="009863F2" w:rsidRDefault="00963FD6" w:rsidP="009863F2">
      <w:pPr>
        <w:pStyle w:val="ListParagraph"/>
        <w:numPr>
          <w:ilvl w:val="0"/>
          <w:numId w:val="32"/>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generar fondos de garantías </w:t>
      </w:r>
      <w:r w:rsidR="002B2BD1" w:rsidRPr="009863F2">
        <w:rPr>
          <w:rFonts w:ascii="Calibri Light" w:hAnsi="Calibri Light" w:cs="Arial"/>
          <w:sz w:val="24"/>
          <w:szCs w:val="24"/>
          <w:lang w:val="es-ES"/>
        </w:rPr>
        <w:t xml:space="preserve">y/o seguros </w:t>
      </w:r>
      <w:r w:rsidRPr="009863F2">
        <w:rPr>
          <w:rFonts w:ascii="Calibri Light" w:hAnsi="Calibri Light" w:cs="Arial"/>
          <w:sz w:val="24"/>
          <w:szCs w:val="24"/>
          <w:lang w:val="es-ES"/>
        </w:rPr>
        <w:t>para minimizar el riesgo percibido en los créditos para vivienda en distintos segmentos.</w:t>
      </w:r>
    </w:p>
    <w:p w14:paraId="0620CED8" w14:textId="263703B1" w:rsidR="00963FD6" w:rsidRPr="009863F2" w:rsidRDefault="00963FD6" w:rsidP="009863F2">
      <w:pPr>
        <w:pStyle w:val="ListParagraph"/>
        <w:numPr>
          <w:ilvl w:val="0"/>
          <w:numId w:val="32"/>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de </w:t>
      </w:r>
      <w:r w:rsidRPr="009863F2">
        <w:rPr>
          <w:rFonts w:ascii="Calibri Light" w:hAnsi="Calibri Light" w:cs="Arial"/>
          <w:i/>
          <w:sz w:val="24"/>
          <w:szCs w:val="24"/>
          <w:lang w:val="es-ES"/>
        </w:rPr>
        <w:t>leasing</w:t>
      </w:r>
      <w:r w:rsidRPr="009863F2">
        <w:rPr>
          <w:rFonts w:ascii="Calibri Light" w:hAnsi="Calibri Light" w:cs="Arial"/>
          <w:sz w:val="24"/>
          <w:szCs w:val="24"/>
          <w:lang w:val="es-ES"/>
        </w:rPr>
        <w:t xml:space="preserve"> habitacional para financiar vivienda de alquiler mediante esquemas de </w:t>
      </w:r>
      <w:r w:rsidRPr="009863F2">
        <w:rPr>
          <w:rFonts w:ascii="Calibri Light" w:hAnsi="Calibri Light" w:cs="Arial"/>
          <w:i/>
          <w:sz w:val="24"/>
          <w:szCs w:val="24"/>
          <w:lang w:val="es-ES"/>
        </w:rPr>
        <w:t>project finance</w:t>
      </w:r>
      <w:r w:rsidR="0025772E" w:rsidRPr="009863F2">
        <w:rPr>
          <w:rFonts w:ascii="Calibri Light" w:hAnsi="Calibri Light" w:cs="Arial"/>
          <w:i/>
          <w:sz w:val="24"/>
          <w:szCs w:val="24"/>
          <w:lang w:val="es-ES"/>
        </w:rPr>
        <w:t>,</w:t>
      </w:r>
      <w:r w:rsidRPr="009863F2">
        <w:rPr>
          <w:rFonts w:ascii="Calibri Light" w:hAnsi="Calibri Light" w:cs="Arial"/>
          <w:sz w:val="24"/>
          <w:szCs w:val="24"/>
          <w:lang w:val="es-ES"/>
        </w:rPr>
        <w:t xml:space="preserve"> a fin de que cada proyecto pague el financiamiento mediante el flujo que generen las rentas del </w:t>
      </w:r>
      <w:r w:rsidR="00B50E79" w:rsidRPr="009863F2">
        <w:rPr>
          <w:rFonts w:ascii="Calibri Light" w:hAnsi="Calibri Light" w:cs="Arial"/>
          <w:sz w:val="24"/>
          <w:szCs w:val="24"/>
          <w:lang w:val="es-ES"/>
        </w:rPr>
        <w:t>mismo</w:t>
      </w:r>
      <w:r w:rsidRPr="009863F2">
        <w:rPr>
          <w:rFonts w:ascii="Calibri Light" w:hAnsi="Calibri Light" w:cs="Arial"/>
          <w:sz w:val="24"/>
          <w:szCs w:val="24"/>
          <w:lang w:val="es-ES"/>
        </w:rPr>
        <w:t>.</w:t>
      </w:r>
    </w:p>
    <w:p w14:paraId="33ABF967" w14:textId="55B9771D" w:rsidR="002B2BD1" w:rsidRDefault="002B2BD1" w:rsidP="009863F2">
      <w:pPr>
        <w:pStyle w:val="ListParagraph"/>
        <w:numPr>
          <w:ilvl w:val="0"/>
          <w:numId w:val="32"/>
        </w:numPr>
        <w:spacing w:after="0" w:line="240" w:lineRule="auto"/>
        <w:ind w:left="810" w:hanging="450"/>
        <w:contextualSpacing w:val="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Programas de </w:t>
      </w:r>
      <w:r w:rsidR="00C02B1D" w:rsidRPr="009863F2">
        <w:rPr>
          <w:rFonts w:ascii="Calibri Light" w:hAnsi="Calibri Light" w:cs="Arial"/>
          <w:sz w:val="24"/>
          <w:szCs w:val="24"/>
          <w:lang w:val="es-ES_tradnl"/>
        </w:rPr>
        <w:t xml:space="preserve">financiamiento </w:t>
      </w:r>
      <w:r w:rsidR="00B50E79" w:rsidRPr="009863F2">
        <w:rPr>
          <w:rFonts w:ascii="Calibri Light" w:hAnsi="Calibri Light" w:cs="Arial"/>
          <w:sz w:val="24"/>
          <w:szCs w:val="24"/>
          <w:lang w:val="es-ES_tradnl"/>
        </w:rPr>
        <w:t xml:space="preserve">para la </w:t>
      </w:r>
      <w:r w:rsidR="00C02B1D" w:rsidRPr="009863F2">
        <w:rPr>
          <w:rFonts w:ascii="Calibri Light" w:hAnsi="Calibri Light" w:cs="Arial"/>
          <w:sz w:val="24"/>
          <w:szCs w:val="24"/>
          <w:lang w:val="es-ES_tradnl"/>
        </w:rPr>
        <w:t xml:space="preserve">construcción progresiva o </w:t>
      </w:r>
      <w:r w:rsidR="00B50E79" w:rsidRPr="009863F2">
        <w:rPr>
          <w:rFonts w:ascii="Calibri Light" w:hAnsi="Calibri Light" w:cs="Arial"/>
          <w:sz w:val="24"/>
          <w:szCs w:val="24"/>
          <w:lang w:val="es-ES_tradnl"/>
        </w:rPr>
        <w:t xml:space="preserve">el </w:t>
      </w:r>
      <w:r w:rsidRPr="009863F2">
        <w:rPr>
          <w:rFonts w:ascii="Calibri Light" w:hAnsi="Calibri Light" w:cs="Arial"/>
          <w:sz w:val="24"/>
          <w:szCs w:val="24"/>
          <w:lang w:val="es-ES_tradnl"/>
        </w:rPr>
        <w:t xml:space="preserve">mejoramiento de </w:t>
      </w:r>
      <w:r w:rsidR="00B50E79" w:rsidRPr="009863F2">
        <w:rPr>
          <w:rFonts w:ascii="Calibri Light" w:hAnsi="Calibri Light" w:cs="Arial"/>
          <w:sz w:val="24"/>
          <w:szCs w:val="24"/>
          <w:lang w:val="es-ES_tradnl"/>
        </w:rPr>
        <w:t xml:space="preserve">la </w:t>
      </w:r>
      <w:r w:rsidRPr="009863F2">
        <w:rPr>
          <w:rFonts w:ascii="Calibri Light" w:hAnsi="Calibri Light" w:cs="Arial"/>
          <w:sz w:val="24"/>
          <w:szCs w:val="24"/>
          <w:lang w:val="es-ES_tradnl"/>
        </w:rPr>
        <w:t xml:space="preserve">vivienda, a través de </w:t>
      </w:r>
      <w:r w:rsidR="00C02B1D" w:rsidRPr="009863F2">
        <w:rPr>
          <w:rFonts w:ascii="Calibri Light" w:hAnsi="Calibri Light" w:cs="Arial"/>
          <w:sz w:val="24"/>
          <w:szCs w:val="24"/>
          <w:lang w:val="es-ES_tradnl"/>
        </w:rPr>
        <w:t xml:space="preserve">líneas de </w:t>
      </w:r>
      <w:r w:rsidRPr="009863F2">
        <w:rPr>
          <w:rFonts w:ascii="Calibri Light" w:hAnsi="Calibri Light" w:cs="Arial"/>
          <w:sz w:val="24"/>
          <w:szCs w:val="24"/>
          <w:lang w:val="es-ES_tradnl"/>
        </w:rPr>
        <w:t>microcrédito acompañad</w:t>
      </w:r>
      <w:r w:rsidR="00C02B1D" w:rsidRPr="009863F2">
        <w:rPr>
          <w:rFonts w:ascii="Calibri Light" w:hAnsi="Calibri Light" w:cs="Arial"/>
          <w:sz w:val="24"/>
          <w:szCs w:val="24"/>
          <w:lang w:val="es-ES_tradnl"/>
        </w:rPr>
        <w:t>as</w:t>
      </w:r>
      <w:r w:rsidRPr="009863F2">
        <w:rPr>
          <w:rFonts w:ascii="Calibri Light" w:hAnsi="Calibri Light" w:cs="Arial"/>
          <w:sz w:val="24"/>
          <w:szCs w:val="24"/>
          <w:lang w:val="es-ES_tradnl"/>
        </w:rPr>
        <w:t xml:space="preserve"> de asistencia técnica.</w:t>
      </w:r>
    </w:p>
    <w:p w14:paraId="471B67C1" w14:textId="77777777" w:rsidR="00720634" w:rsidRPr="009863F2" w:rsidRDefault="00720634" w:rsidP="00720634">
      <w:pPr>
        <w:pStyle w:val="ListParagraph"/>
        <w:spacing w:after="0" w:line="240" w:lineRule="auto"/>
        <w:ind w:left="810"/>
        <w:contextualSpacing w:val="0"/>
        <w:jc w:val="both"/>
        <w:rPr>
          <w:rFonts w:ascii="Calibri Light" w:hAnsi="Calibri Light" w:cs="Arial"/>
          <w:sz w:val="24"/>
          <w:szCs w:val="24"/>
          <w:lang w:val="es-ES_tradnl"/>
        </w:rPr>
      </w:pPr>
    </w:p>
    <w:p w14:paraId="678BC273" w14:textId="77777777" w:rsidR="00963FD6" w:rsidRPr="009863F2" w:rsidRDefault="00963FD6" w:rsidP="009863F2">
      <w:pPr>
        <w:pStyle w:val="Heading2"/>
        <w:numPr>
          <w:ilvl w:val="1"/>
          <w:numId w:val="1"/>
        </w:numPr>
        <w:spacing w:before="0" w:line="240" w:lineRule="auto"/>
        <w:rPr>
          <w:rFonts w:ascii="Calibri Light" w:hAnsi="Calibri Light" w:cs="Arial"/>
          <w:b w:val="0"/>
          <w:szCs w:val="24"/>
          <w:lang w:val="es-ES_tradnl"/>
        </w:rPr>
      </w:pPr>
      <w:bookmarkStart w:id="23" w:name="_Toc504406840"/>
      <w:r w:rsidRPr="009863F2">
        <w:rPr>
          <w:rFonts w:ascii="Calibri Light" w:hAnsi="Calibri Light" w:cs="Arial"/>
          <w:szCs w:val="24"/>
          <w:lang w:val="es-ES_tradnl"/>
        </w:rPr>
        <w:t>Promover la oferta de vivienda nueva</w:t>
      </w:r>
      <w:bookmarkEnd w:id="23"/>
    </w:p>
    <w:p w14:paraId="7A6584C1" w14:textId="77777777" w:rsidR="00720634" w:rsidRPr="00720634" w:rsidRDefault="00720634" w:rsidP="00720634">
      <w:pPr>
        <w:pStyle w:val="ListParagraph"/>
        <w:spacing w:after="0" w:line="240" w:lineRule="auto"/>
        <w:ind w:left="810"/>
        <w:contextualSpacing w:val="0"/>
        <w:jc w:val="both"/>
        <w:rPr>
          <w:rFonts w:ascii="Calibri Light" w:hAnsi="Calibri Light" w:cs="Arial"/>
          <w:sz w:val="24"/>
          <w:szCs w:val="24"/>
          <w:lang w:val="es-ES"/>
        </w:rPr>
      </w:pPr>
    </w:p>
    <w:p w14:paraId="77AFB467" w14:textId="6EB6EB15" w:rsidR="00963FD6" w:rsidRPr="009863F2" w:rsidRDefault="00963FD6" w:rsidP="009863F2">
      <w:pPr>
        <w:pStyle w:val="ListParagraph"/>
        <w:numPr>
          <w:ilvl w:val="0"/>
          <w:numId w:val="33"/>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Programas para otorgar financiamiento a los desarrolladores de vivienda nueva.</w:t>
      </w:r>
    </w:p>
    <w:p w14:paraId="2AA8D293" w14:textId="26EC8C98" w:rsidR="00963FD6" w:rsidRPr="009863F2" w:rsidRDefault="00963FD6" w:rsidP="009863F2">
      <w:pPr>
        <w:pStyle w:val="ListParagraph"/>
        <w:numPr>
          <w:ilvl w:val="0"/>
          <w:numId w:val="33"/>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generar fondos de garantías </w:t>
      </w:r>
      <w:r w:rsidR="00B50E79" w:rsidRPr="009863F2">
        <w:rPr>
          <w:rFonts w:ascii="Calibri Light" w:hAnsi="Calibri Light" w:cs="Arial"/>
          <w:sz w:val="24"/>
          <w:szCs w:val="24"/>
          <w:lang w:val="es-ES"/>
        </w:rPr>
        <w:t xml:space="preserve">destinados a </w:t>
      </w:r>
      <w:r w:rsidRPr="009863F2">
        <w:rPr>
          <w:rFonts w:ascii="Calibri Light" w:hAnsi="Calibri Light" w:cs="Arial"/>
          <w:sz w:val="24"/>
          <w:szCs w:val="24"/>
          <w:lang w:val="es-ES"/>
        </w:rPr>
        <w:t xml:space="preserve">minimizar el riesgo crediticio de los préstamos </w:t>
      </w:r>
      <w:r w:rsidR="00B50E79" w:rsidRPr="009863F2">
        <w:rPr>
          <w:rFonts w:ascii="Calibri Light" w:hAnsi="Calibri Light" w:cs="Arial"/>
          <w:sz w:val="24"/>
          <w:szCs w:val="24"/>
          <w:lang w:val="es-ES"/>
        </w:rPr>
        <w:t>par</w:t>
      </w:r>
      <w:r w:rsidRPr="009863F2">
        <w:rPr>
          <w:rFonts w:ascii="Calibri Light" w:hAnsi="Calibri Light" w:cs="Arial"/>
          <w:sz w:val="24"/>
          <w:szCs w:val="24"/>
          <w:lang w:val="es-ES"/>
        </w:rPr>
        <w:t>a</w:t>
      </w:r>
      <w:r w:rsidR="00B50E79" w:rsidRPr="009863F2">
        <w:rPr>
          <w:rFonts w:ascii="Calibri Light" w:hAnsi="Calibri Light" w:cs="Arial"/>
          <w:sz w:val="24"/>
          <w:szCs w:val="24"/>
          <w:lang w:val="es-ES"/>
        </w:rPr>
        <w:t xml:space="preserve"> los</w:t>
      </w:r>
      <w:r w:rsidRPr="009863F2">
        <w:rPr>
          <w:rFonts w:ascii="Calibri Light" w:hAnsi="Calibri Light" w:cs="Arial"/>
          <w:sz w:val="24"/>
          <w:szCs w:val="24"/>
          <w:lang w:val="es-ES"/>
        </w:rPr>
        <w:t xml:space="preserve"> desarrolladores de vivienda.</w:t>
      </w:r>
    </w:p>
    <w:p w14:paraId="29A30E52" w14:textId="107E3E28" w:rsidR="0025772E" w:rsidRDefault="0025772E" w:rsidP="009863F2">
      <w:pPr>
        <w:pStyle w:val="ListParagraph"/>
        <w:numPr>
          <w:ilvl w:val="0"/>
          <w:numId w:val="33"/>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lastRenderedPageBreak/>
        <w:t>Estructura</w:t>
      </w:r>
      <w:r w:rsidR="00B50E79" w:rsidRPr="009863F2">
        <w:rPr>
          <w:rFonts w:ascii="Calibri Light" w:hAnsi="Calibri Light" w:cs="Arial"/>
          <w:sz w:val="24"/>
          <w:szCs w:val="24"/>
          <w:lang w:val="es-ES"/>
        </w:rPr>
        <w:t>ción de</w:t>
      </w:r>
      <w:r w:rsidRPr="009863F2">
        <w:rPr>
          <w:rFonts w:ascii="Calibri Light" w:hAnsi="Calibri Light" w:cs="Arial"/>
          <w:sz w:val="24"/>
          <w:szCs w:val="24"/>
          <w:lang w:val="es-ES"/>
        </w:rPr>
        <w:t xml:space="preserve"> </w:t>
      </w:r>
      <w:r w:rsidR="00B50E79" w:rsidRPr="009863F2">
        <w:rPr>
          <w:rFonts w:ascii="Calibri Light" w:hAnsi="Calibri Light" w:cs="Arial"/>
          <w:sz w:val="24"/>
          <w:szCs w:val="24"/>
          <w:lang w:val="es-ES"/>
        </w:rPr>
        <w:t xml:space="preserve">los </w:t>
      </w:r>
      <w:r w:rsidRPr="009863F2">
        <w:rPr>
          <w:rFonts w:ascii="Calibri Light" w:hAnsi="Calibri Light" w:cs="Arial"/>
          <w:sz w:val="24"/>
          <w:szCs w:val="24"/>
          <w:lang w:val="es-ES"/>
        </w:rPr>
        <w:t xml:space="preserve">modelos de </w:t>
      </w:r>
      <w:r w:rsidR="00B50E79" w:rsidRPr="009863F2">
        <w:rPr>
          <w:rFonts w:ascii="Calibri Light" w:hAnsi="Calibri Light" w:cs="Arial"/>
          <w:sz w:val="24"/>
          <w:szCs w:val="24"/>
          <w:lang w:val="es-ES"/>
        </w:rPr>
        <w:t>a</w:t>
      </w:r>
      <w:r w:rsidRPr="009863F2">
        <w:rPr>
          <w:rFonts w:ascii="Calibri Light" w:hAnsi="Calibri Light" w:cs="Arial"/>
          <w:sz w:val="24"/>
          <w:szCs w:val="24"/>
          <w:lang w:val="es-ES"/>
        </w:rPr>
        <w:t xml:space="preserve">sociaciones </w:t>
      </w:r>
      <w:r w:rsidR="00B50E79" w:rsidRPr="009863F2">
        <w:rPr>
          <w:rFonts w:ascii="Calibri Light" w:hAnsi="Calibri Light" w:cs="Arial"/>
          <w:sz w:val="24"/>
          <w:szCs w:val="24"/>
          <w:lang w:val="es-ES"/>
        </w:rPr>
        <w:t>p</w:t>
      </w:r>
      <w:r w:rsidRPr="009863F2">
        <w:rPr>
          <w:rFonts w:ascii="Calibri Light" w:hAnsi="Calibri Light" w:cs="Arial"/>
          <w:sz w:val="24"/>
          <w:szCs w:val="24"/>
          <w:lang w:val="es-ES"/>
        </w:rPr>
        <w:t>úblico</w:t>
      </w:r>
      <w:r w:rsidR="00B50E79" w:rsidRPr="009863F2">
        <w:rPr>
          <w:rFonts w:ascii="Calibri Light" w:hAnsi="Calibri Light" w:cs="Arial"/>
          <w:sz w:val="24"/>
          <w:szCs w:val="24"/>
          <w:lang w:val="es-ES"/>
        </w:rPr>
        <w:t>-pr</w:t>
      </w:r>
      <w:r w:rsidRPr="009863F2">
        <w:rPr>
          <w:rFonts w:ascii="Calibri Light" w:hAnsi="Calibri Light" w:cs="Arial"/>
          <w:sz w:val="24"/>
          <w:szCs w:val="24"/>
          <w:lang w:val="es-ES"/>
        </w:rPr>
        <w:t>ivadas</w:t>
      </w:r>
      <w:r w:rsidR="00B50E79" w:rsidRPr="009863F2">
        <w:rPr>
          <w:rFonts w:ascii="Calibri Light" w:hAnsi="Calibri Light" w:cs="Arial"/>
          <w:sz w:val="24"/>
          <w:szCs w:val="24"/>
          <w:lang w:val="es-ES"/>
        </w:rPr>
        <w:t xml:space="preserve"> (APP)</w:t>
      </w:r>
      <w:r w:rsidRPr="009863F2">
        <w:rPr>
          <w:rFonts w:ascii="Calibri Light" w:hAnsi="Calibri Light" w:cs="Arial"/>
          <w:sz w:val="24"/>
          <w:szCs w:val="24"/>
          <w:lang w:val="es-ES"/>
        </w:rPr>
        <w:t xml:space="preserve">, para </w:t>
      </w:r>
      <w:r w:rsidR="00B50E79" w:rsidRPr="009863F2">
        <w:rPr>
          <w:rFonts w:ascii="Calibri Light" w:hAnsi="Calibri Light" w:cs="Arial"/>
          <w:sz w:val="24"/>
          <w:szCs w:val="24"/>
          <w:lang w:val="es-ES"/>
        </w:rPr>
        <w:t xml:space="preserve">impulsar </w:t>
      </w:r>
      <w:r w:rsidRPr="009863F2">
        <w:rPr>
          <w:rFonts w:ascii="Calibri Light" w:hAnsi="Calibri Light" w:cs="Arial"/>
          <w:sz w:val="24"/>
          <w:szCs w:val="24"/>
          <w:lang w:val="es-ES"/>
        </w:rPr>
        <w:t>la participación de los gobiernos locales como proveedores de tierras.</w:t>
      </w:r>
    </w:p>
    <w:p w14:paraId="56234891" w14:textId="77777777" w:rsidR="00720634" w:rsidRPr="009863F2" w:rsidRDefault="00720634" w:rsidP="00720634">
      <w:pPr>
        <w:pStyle w:val="ListParagraph"/>
        <w:spacing w:after="0" w:line="240" w:lineRule="auto"/>
        <w:ind w:left="810"/>
        <w:contextualSpacing w:val="0"/>
        <w:jc w:val="both"/>
        <w:rPr>
          <w:rFonts w:ascii="Calibri Light" w:hAnsi="Calibri Light" w:cs="Arial"/>
          <w:sz w:val="24"/>
          <w:szCs w:val="24"/>
          <w:lang w:val="es-ES"/>
        </w:rPr>
      </w:pPr>
    </w:p>
    <w:p w14:paraId="6F692D1D" w14:textId="261AB759" w:rsidR="00963FD6" w:rsidRPr="009863F2" w:rsidRDefault="00963FD6" w:rsidP="009863F2">
      <w:pPr>
        <w:pStyle w:val="Heading2"/>
        <w:numPr>
          <w:ilvl w:val="1"/>
          <w:numId w:val="1"/>
        </w:numPr>
        <w:spacing w:before="0" w:line="240" w:lineRule="auto"/>
        <w:rPr>
          <w:rFonts w:ascii="Calibri Light" w:hAnsi="Calibri Light" w:cs="Arial"/>
          <w:b w:val="0"/>
          <w:szCs w:val="24"/>
          <w:lang w:val="es-ES_tradnl"/>
        </w:rPr>
      </w:pPr>
      <w:bookmarkStart w:id="24" w:name="_Toc504406841"/>
      <w:r w:rsidRPr="009863F2">
        <w:rPr>
          <w:rFonts w:ascii="Calibri Light" w:hAnsi="Calibri Light" w:cs="Arial"/>
          <w:szCs w:val="24"/>
          <w:lang w:val="es-ES_tradnl"/>
        </w:rPr>
        <w:t>Promover</w:t>
      </w:r>
      <w:r w:rsidR="00B50E79" w:rsidRPr="009863F2">
        <w:rPr>
          <w:rFonts w:ascii="Calibri Light" w:hAnsi="Calibri Light" w:cs="Arial"/>
          <w:szCs w:val="24"/>
          <w:lang w:val="es-ES_tradnl"/>
        </w:rPr>
        <w:t xml:space="preserve"> la</w:t>
      </w:r>
      <w:r w:rsidRPr="009863F2">
        <w:rPr>
          <w:rFonts w:ascii="Calibri Light" w:hAnsi="Calibri Light" w:cs="Arial"/>
          <w:szCs w:val="24"/>
          <w:lang w:val="es-ES_tradnl"/>
        </w:rPr>
        <w:t xml:space="preserve"> vivienda verde para la mitigación y adaptación al cambio climático</w:t>
      </w:r>
      <w:bookmarkEnd w:id="24"/>
    </w:p>
    <w:p w14:paraId="0916C6F7" w14:textId="77777777" w:rsidR="00720634" w:rsidRDefault="00720634" w:rsidP="00720634">
      <w:pPr>
        <w:pStyle w:val="ListParagraph"/>
        <w:spacing w:after="0" w:line="240" w:lineRule="auto"/>
        <w:ind w:left="810"/>
        <w:contextualSpacing w:val="0"/>
        <w:jc w:val="both"/>
        <w:rPr>
          <w:rFonts w:ascii="Calibri Light" w:hAnsi="Calibri Light" w:cs="Arial"/>
          <w:sz w:val="24"/>
          <w:szCs w:val="24"/>
          <w:lang w:val="es-ES"/>
        </w:rPr>
      </w:pPr>
    </w:p>
    <w:p w14:paraId="30F49CC2" w14:textId="5517B20F" w:rsidR="00963FD6" w:rsidRPr="009863F2" w:rsidRDefault="00963FD6" w:rsidP="009863F2">
      <w:pPr>
        <w:pStyle w:val="ListParagraph"/>
        <w:numPr>
          <w:ilvl w:val="0"/>
          <w:numId w:val="34"/>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w:t>
      </w:r>
      <w:r w:rsidR="00B50E79" w:rsidRPr="009863F2">
        <w:rPr>
          <w:rFonts w:ascii="Calibri Light" w:hAnsi="Calibri Light" w:cs="Arial"/>
          <w:sz w:val="24"/>
          <w:szCs w:val="24"/>
          <w:lang w:val="es-ES"/>
        </w:rPr>
        <w:t>crear y desarrollar</w:t>
      </w:r>
      <w:r w:rsidRPr="009863F2">
        <w:rPr>
          <w:rFonts w:ascii="Calibri Light" w:hAnsi="Calibri Light" w:cs="Arial"/>
          <w:sz w:val="24"/>
          <w:szCs w:val="24"/>
          <w:lang w:val="es-ES"/>
        </w:rPr>
        <w:t xml:space="preserve"> de mercados de vivienda verde, a través de incentivos que </w:t>
      </w:r>
      <w:r w:rsidR="00B50E79" w:rsidRPr="009863F2">
        <w:rPr>
          <w:rFonts w:ascii="Calibri Light" w:hAnsi="Calibri Light" w:cs="Arial"/>
          <w:sz w:val="24"/>
          <w:szCs w:val="24"/>
          <w:lang w:val="es-ES"/>
        </w:rPr>
        <w:t xml:space="preserve">fomenten </w:t>
      </w:r>
      <w:r w:rsidRPr="009863F2">
        <w:rPr>
          <w:rFonts w:ascii="Calibri Light" w:hAnsi="Calibri Light" w:cs="Arial"/>
          <w:sz w:val="24"/>
          <w:szCs w:val="24"/>
          <w:lang w:val="es-ES"/>
        </w:rPr>
        <w:t>la construcción de vivienda eficiente del lado de la oferta.</w:t>
      </w:r>
    </w:p>
    <w:p w14:paraId="332E959F" w14:textId="2933F008" w:rsidR="00963FD6" w:rsidRPr="009863F2" w:rsidRDefault="00963FD6" w:rsidP="009863F2">
      <w:pPr>
        <w:pStyle w:val="ListParagraph"/>
        <w:numPr>
          <w:ilvl w:val="0"/>
          <w:numId w:val="34"/>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el financiamiento de vivienda verde del lado de la demanda, así como </w:t>
      </w:r>
      <w:r w:rsidR="00B50E79" w:rsidRPr="009863F2">
        <w:rPr>
          <w:rFonts w:ascii="Calibri Light" w:hAnsi="Calibri Light" w:cs="Arial"/>
          <w:sz w:val="24"/>
          <w:szCs w:val="24"/>
          <w:lang w:val="es-ES"/>
        </w:rPr>
        <w:t xml:space="preserve">también </w:t>
      </w:r>
      <w:r w:rsidRPr="009863F2">
        <w:rPr>
          <w:rFonts w:ascii="Calibri Light" w:hAnsi="Calibri Light" w:cs="Arial"/>
          <w:sz w:val="24"/>
          <w:szCs w:val="24"/>
          <w:lang w:val="es-ES"/>
        </w:rPr>
        <w:t>esquemas para desarrollar una cultura de eficiencia y ahorro.</w:t>
      </w:r>
    </w:p>
    <w:p w14:paraId="1D2EB1C1" w14:textId="386180EC" w:rsidR="00963FD6" w:rsidRPr="009863F2" w:rsidRDefault="00963FD6" w:rsidP="009863F2">
      <w:pPr>
        <w:pStyle w:val="ListParagraph"/>
        <w:numPr>
          <w:ilvl w:val="0"/>
          <w:numId w:val="34"/>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diseñar esquemas de financiamiento de </w:t>
      </w:r>
      <w:r w:rsidRPr="009863F2">
        <w:rPr>
          <w:rFonts w:ascii="Calibri Light" w:hAnsi="Calibri Light" w:cs="Arial"/>
          <w:i/>
          <w:sz w:val="24"/>
          <w:szCs w:val="24"/>
          <w:lang w:val="es-ES"/>
        </w:rPr>
        <w:t>leasing</w:t>
      </w:r>
      <w:r w:rsidRPr="009863F2">
        <w:rPr>
          <w:rFonts w:ascii="Calibri Light" w:hAnsi="Calibri Light" w:cs="Arial"/>
          <w:sz w:val="24"/>
          <w:szCs w:val="24"/>
          <w:lang w:val="es-ES"/>
        </w:rPr>
        <w:t xml:space="preserve"> habitacional “verde”, aprovechando modelos de negocio</w:t>
      </w:r>
      <w:r w:rsidR="00F76ABC" w:rsidRPr="009863F2">
        <w:rPr>
          <w:rFonts w:ascii="Calibri Light" w:hAnsi="Calibri Light" w:cs="Arial"/>
          <w:sz w:val="24"/>
          <w:szCs w:val="24"/>
          <w:lang w:val="es-ES"/>
        </w:rPr>
        <w:t>s</w:t>
      </w:r>
      <w:r w:rsidRPr="009863F2">
        <w:rPr>
          <w:rFonts w:ascii="Calibri Light" w:hAnsi="Calibri Light" w:cs="Arial"/>
          <w:sz w:val="24"/>
          <w:szCs w:val="24"/>
          <w:lang w:val="es-ES"/>
        </w:rPr>
        <w:t xml:space="preserve"> en </w:t>
      </w:r>
      <w:r w:rsidR="00F76ABC" w:rsidRPr="009863F2">
        <w:rPr>
          <w:rFonts w:ascii="Calibri Light" w:hAnsi="Calibri Light" w:cs="Arial"/>
          <w:sz w:val="24"/>
          <w:szCs w:val="24"/>
          <w:lang w:val="es-ES"/>
        </w:rPr>
        <w:t xml:space="preserve">los cuales </w:t>
      </w:r>
      <w:r w:rsidRPr="009863F2">
        <w:rPr>
          <w:rFonts w:ascii="Calibri Light" w:hAnsi="Calibri Light" w:cs="Arial"/>
          <w:sz w:val="24"/>
          <w:szCs w:val="24"/>
          <w:lang w:val="es-ES"/>
        </w:rPr>
        <w:t xml:space="preserve">los ahorros </w:t>
      </w:r>
      <w:r w:rsidR="00F76ABC" w:rsidRPr="009863F2">
        <w:rPr>
          <w:rFonts w:ascii="Calibri Light" w:hAnsi="Calibri Light" w:cs="Arial"/>
          <w:sz w:val="24"/>
          <w:szCs w:val="24"/>
          <w:lang w:val="es-ES"/>
        </w:rPr>
        <w:t xml:space="preserve">formen </w:t>
      </w:r>
      <w:r w:rsidRPr="009863F2">
        <w:rPr>
          <w:rFonts w:ascii="Calibri Light" w:hAnsi="Calibri Light" w:cs="Arial"/>
          <w:sz w:val="24"/>
          <w:szCs w:val="24"/>
          <w:lang w:val="es-ES"/>
        </w:rPr>
        <w:t>parte de las utilidades de los desarrolladores.</w:t>
      </w:r>
    </w:p>
    <w:p w14:paraId="23660D69" w14:textId="0F9BAC6A" w:rsidR="00BC6E70" w:rsidRPr="009863F2" w:rsidRDefault="00963FD6" w:rsidP="009863F2">
      <w:pPr>
        <w:pStyle w:val="ListParagraph"/>
        <w:numPr>
          <w:ilvl w:val="0"/>
          <w:numId w:val="34"/>
        </w:numPr>
        <w:spacing w:after="0" w:line="240" w:lineRule="auto"/>
        <w:ind w:left="810" w:hanging="450"/>
        <w:contextualSpacing w:val="0"/>
        <w:jc w:val="both"/>
        <w:rPr>
          <w:rFonts w:ascii="Calibri Light" w:hAnsi="Calibri Light" w:cs="Arial"/>
          <w:sz w:val="24"/>
          <w:szCs w:val="24"/>
          <w:lang w:val="es-ES"/>
        </w:rPr>
      </w:pPr>
      <w:r w:rsidRPr="009863F2">
        <w:rPr>
          <w:rFonts w:ascii="Calibri Light" w:hAnsi="Calibri Light" w:cs="Arial"/>
          <w:sz w:val="24"/>
          <w:szCs w:val="24"/>
          <w:lang w:val="es-ES"/>
        </w:rPr>
        <w:t xml:space="preserve">Programas para diseñar bonos verdes que estén respaldados por proyectos de vivienda verde, ya </w:t>
      </w:r>
      <w:r w:rsidR="00F76ABC" w:rsidRPr="009863F2">
        <w:rPr>
          <w:rFonts w:ascii="Calibri Light" w:hAnsi="Calibri Light" w:cs="Arial"/>
          <w:sz w:val="24"/>
          <w:szCs w:val="24"/>
          <w:lang w:val="es-ES"/>
        </w:rPr>
        <w:t xml:space="preserve">se trate de </w:t>
      </w:r>
      <w:r w:rsidRPr="009863F2">
        <w:rPr>
          <w:rFonts w:ascii="Calibri Light" w:hAnsi="Calibri Light" w:cs="Arial"/>
          <w:sz w:val="24"/>
          <w:szCs w:val="24"/>
          <w:lang w:val="es-ES"/>
        </w:rPr>
        <w:t>créditos a desarrolladores o hipotecas.</w:t>
      </w:r>
      <w:r w:rsidR="00BC6E70" w:rsidRPr="009863F2">
        <w:rPr>
          <w:rFonts w:ascii="Calibri Light" w:hAnsi="Calibri Light" w:cs="Arial"/>
          <w:sz w:val="24"/>
          <w:szCs w:val="24"/>
          <w:lang w:val="es-ES"/>
        </w:rPr>
        <w:br w:type="page"/>
      </w:r>
    </w:p>
    <w:p w14:paraId="3657D3AA" w14:textId="638F118A" w:rsidR="00AA11EC" w:rsidRPr="009863F2" w:rsidRDefault="00AA11EC" w:rsidP="00AA11EC">
      <w:pPr>
        <w:pStyle w:val="Heading1"/>
        <w:spacing w:after="0" w:line="240" w:lineRule="auto"/>
        <w:contextualSpacing w:val="0"/>
        <w:rPr>
          <w:rFonts w:ascii="Calibri Light" w:hAnsi="Calibri Light" w:cs="Arial"/>
          <w:sz w:val="24"/>
          <w:szCs w:val="24"/>
        </w:rPr>
      </w:pPr>
      <w:bookmarkStart w:id="25" w:name="_Toc504406842"/>
      <w:bookmarkStart w:id="26" w:name="_Hlk504461396"/>
      <w:bookmarkStart w:id="27" w:name="_Toc474834569"/>
      <w:bookmarkStart w:id="28" w:name="_Toc477773141"/>
      <w:r>
        <w:rPr>
          <w:rFonts w:ascii="Calibri Light" w:hAnsi="Calibri Light" w:cs="Arial"/>
          <w:sz w:val="24"/>
          <w:szCs w:val="24"/>
        </w:rPr>
        <w:lastRenderedPageBreak/>
        <w:t>CONCLUSIÓN</w:t>
      </w:r>
      <w:bookmarkEnd w:id="25"/>
    </w:p>
    <w:p w14:paraId="625FF7D3" w14:textId="77777777" w:rsidR="00AA11EC" w:rsidRDefault="00AA11EC" w:rsidP="00AA11EC">
      <w:pPr>
        <w:spacing w:after="0" w:line="240" w:lineRule="auto"/>
        <w:ind w:left="720" w:hanging="720"/>
        <w:jc w:val="both"/>
        <w:rPr>
          <w:rFonts w:ascii="Calibri Light" w:eastAsia="Calibri" w:hAnsi="Calibri Light" w:cs="Arial"/>
          <w:sz w:val="24"/>
          <w:szCs w:val="24"/>
          <w:lang w:val="es-ES_tradnl"/>
        </w:rPr>
      </w:pPr>
    </w:p>
    <w:p w14:paraId="188BF54F" w14:textId="0C8FAB76" w:rsidR="00B94424" w:rsidRPr="009863F2" w:rsidRDefault="00B94424" w:rsidP="00B94424">
      <w:pPr>
        <w:pStyle w:val="ListParagraph"/>
        <w:spacing w:after="0" w:line="240" w:lineRule="auto"/>
        <w:ind w:left="0"/>
        <w:contextualSpacing w:val="0"/>
        <w:jc w:val="both"/>
        <w:rPr>
          <w:rFonts w:ascii="Calibri Light" w:hAnsi="Calibri Light" w:cs="Arial"/>
          <w:sz w:val="24"/>
          <w:szCs w:val="24"/>
          <w:lang w:val="es-ES_tradnl"/>
        </w:rPr>
      </w:pPr>
      <w:r>
        <w:rPr>
          <w:rFonts w:ascii="Calibri Light" w:hAnsi="Calibri Light" w:cs="Arial"/>
          <w:sz w:val="24"/>
          <w:szCs w:val="24"/>
          <w:lang w:val="es-ES"/>
        </w:rPr>
        <w:t xml:space="preserve">A lo largo del documento se buscó identificar y justificar potenciales </w:t>
      </w:r>
      <w:r w:rsidRPr="009863F2">
        <w:rPr>
          <w:rFonts w:ascii="Calibri Light" w:hAnsi="Calibri Light" w:cs="Arial"/>
          <w:sz w:val="24"/>
          <w:szCs w:val="24"/>
          <w:lang w:val="es-ES"/>
        </w:rPr>
        <w:t xml:space="preserve">intervenciones específicas de política pública </w:t>
      </w:r>
      <w:r>
        <w:rPr>
          <w:rFonts w:ascii="Calibri Light" w:hAnsi="Calibri Light" w:cs="Arial"/>
          <w:sz w:val="24"/>
          <w:szCs w:val="24"/>
          <w:lang w:val="es-ES"/>
        </w:rPr>
        <w:t xml:space="preserve">así como </w:t>
      </w:r>
      <w:r w:rsidRPr="009863F2">
        <w:rPr>
          <w:rFonts w:ascii="Calibri Light" w:hAnsi="Calibri Light" w:cs="Arial"/>
          <w:sz w:val="24"/>
          <w:szCs w:val="24"/>
          <w:lang w:val="es-ES"/>
        </w:rPr>
        <w:t xml:space="preserve">delinear programas que puedan implementarse </w:t>
      </w:r>
      <w:r w:rsidR="00D7596E">
        <w:rPr>
          <w:rFonts w:ascii="Calibri Light" w:hAnsi="Calibri Light" w:cs="Arial"/>
          <w:sz w:val="24"/>
          <w:szCs w:val="24"/>
          <w:lang w:val="es-ES"/>
        </w:rPr>
        <w:t xml:space="preserve">para el </w:t>
      </w:r>
      <w:r w:rsidR="00D7596E" w:rsidRPr="009863F2">
        <w:rPr>
          <w:rFonts w:ascii="Calibri Light" w:hAnsi="Calibri Light" w:cs="Arial"/>
          <w:sz w:val="24"/>
          <w:szCs w:val="24"/>
          <w:lang w:val="es-ES"/>
        </w:rPr>
        <w:t>financiamiento del mercado de vivienda</w:t>
      </w:r>
      <w:r w:rsidR="00FC7D95">
        <w:rPr>
          <w:rFonts w:ascii="Calibri Light" w:hAnsi="Calibri Light" w:cs="Arial"/>
          <w:sz w:val="24"/>
          <w:szCs w:val="24"/>
          <w:lang w:val="es-ES"/>
        </w:rPr>
        <w:t xml:space="preserve">, partiendo </w:t>
      </w:r>
      <w:r w:rsidRPr="009863F2">
        <w:rPr>
          <w:rFonts w:ascii="Calibri Light" w:hAnsi="Calibri Light" w:cs="Arial"/>
          <w:sz w:val="24"/>
          <w:szCs w:val="24"/>
          <w:lang w:val="es-ES"/>
        </w:rPr>
        <w:t>de un análisis de las necesidades de financiamiento de</w:t>
      </w:r>
      <w:r w:rsidR="00D7596E" w:rsidRPr="00D7596E">
        <w:rPr>
          <w:rFonts w:ascii="Calibri Light" w:hAnsi="Calibri Light" w:cs="Arial"/>
          <w:sz w:val="24"/>
          <w:szCs w:val="24"/>
          <w:lang w:val="es-ES_tradnl"/>
        </w:rPr>
        <w:t xml:space="preserve"> </w:t>
      </w:r>
      <w:r w:rsidR="00FC7D95">
        <w:rPr>
          <w:rFonts w:ascii="Calibri Light" w:hAnsi="Calibri Light" w:cs="Arial"/>
          <w:sz w:val="24"/>
          <w:szCs w:val="24"/>
          <w:lang w:val="es-ES_tradnl"/>
        </w:rPr>
        <w:t xml:space="preserve">cada uno de </w:t>
      </w:r>
      <w:r w:rsidR="00D7596E">
        <w:rPr>
          <w:rFonts w:ascii="Calibri Light" w:hAnsi="Calibri Light" w:cs="Arial"/>
          <w:sz w:val="24"/>
          <w:szCs w:val="24"/>
          <w:lang w:val="es-ES_tradnl"/>
        </w:rPr>
        <w:t>sus actores</w:t>
      </w:r>
      <w:r w:rsidRPr="009863F2">
        <w:rPr>
          <w:rFonts w:ascii="Calibri Light" w:hAnsi="Calibri Light" w:cs="Arial"/>
          <w:sz w:val="24"/>
          <w:szCs w:val="24"/>
          <w:lang w:val="es-ES"/>
        </w:rPr>
        <w:t xml:space="preserve">. </w:t>
      </w:r>
      <w:r>
        <w:rPr>
          <w:rFonts w:ascii="Calibri Light" w:hAnsi="Calibri Light" w:cs="Arial"/>
          <w:sz w:val="24"/>
          <w:szCs w:val="24"/>
          <w:lang w:val="es-ES"/>
        </w:rPr>
        <w:t xml:space="preserve">Una vez mas, queda claro que </w:t>
      </w:r>
      <w:r>
        <w:rPr>
          <w:rFonts w:ascii="Calibri Light" w:eastAsia="Calibri" w:hAnsi="Calibri Light" w:cs="Arial"/>
          <w:sz w:val="24"/>
          <w:szCs w:val="24"/>
          <w:lang w:val="es-ES_tradnl"/>
        </w:rPr>
        <w:t>e</w:t>
      </w:r>
      <w:r w:rsidRPr="00AA11EC">
        <w:rPr>
          <w:rFonts w:ascii="Calibri Light" w:eastAsia="Calibri" w:hAnsi="Calibri Light" w:cs="Arial"/>
          <w:sz w:val="24"/>
          <w:szCs w:val="24"/>
          <w:lang w:val="es-ES_tradnl"/>
        </w:rPr>
        <w:t xml:space="preserve">l limitado acceso al financiamiento para vivienda sigue siendo una restricción </w:t>
      </w:r>
      <w:r w:rsidR="00D7596E">
        <w:rPr>
          <w:rFonts w:ascii="Calibri Light" w:eastAsia="Calibri" w:hAnsi="Calibri Light" w:cs="Arial"/>
          <w:sz w:val="24"/>
          <w:szCs w:val="24"/>
          <w:lang w:val="es-ES_tradnl"/>
        </w:rPr>
        <w:t xml:space="preserve">importante </w:t>
      </w:r>
      <w:r w:rsidRPr="00AA11EC">
        <w:rPr>
          <w:rFonts w:ascii="Calibri Light" w:eastAsia="Calibri" w:hAnsi="Calibri Light" w:cs="Arial"/>
          <w:sz w:val="24"/>
          <w:szCs w:val="24"/>
          <w:lang w:val="es-ES_tradnl"/>
        </w:rPr>
        <w:t xml:space="preserve">para </w:t>
      </w:r>
      <w:r w:rsidR="00794D99">
        <w:rPr>
          <w:rFonts w:ascii="Calibri Light" w:eastAsia="Calibri" w:hAnsi="Calibri Light" w:cs="Arial"/>
          <w:sz w:val="24"/>
          <w:szCs w:val="24"/>
          <w:lang w:val="es-ES_tradnl"/>
        </w:rPr>
        <w:t xml:space="preserve">mejorar mas </w:t>
      </w:r>
      <w:r w:rsidRPr="00AA11EC">
        <w:rPr>
          <w:rFonts w:ascii="Calibri Light" w:eastAsia="Calibri" w:hAnsi="Calibri Light" w:cs="Arial"/>
          <w:sz w:val="24"/>
          <w:szCs w:val="24"/>
          <w:lang w:val="es-ES_tradnl"/>
        </w:rPr>
        <w:t>vida</w:t>
      </w:r>
      <w:r w:rsidR="00794D99">
        <w:rPr>
          <w:rFonts w:ascii="Calibri Light" w:eastAsia="Calibri" w:hAnsi="Calibri Light" w:cs="Arial"/>
          <w:sz w:val="24"/>
          <w:szCs w:val="24"/>
          <w:lang w:val="es-ES_tradnl"/>
        </w:rPr>
        <w:t>s</w:t>
      </w:r>
      <w:r w:rsidRPr="00AA11EC">
        <w:rPr>
          <w:rFonts w:ascii="Calibri Light" w:eastAsia="Calibri" w:hAnsi="Calibri Light" w:cs="Arial"/>
          <w:sz w:val="24"/>
          <w:szCs w:val="24"/>
          <w:lang w:val="es-ES_tradnl"/>
        </w:rPr>
        <w:t xml:space="preserve"> en </w:t>
      </w:r>
      <w:r>
        <w:rPr>
          <w:rFonts w:ascii="Calibri Light" w:eastAsia="Calibri" w:hAnsi="Calibri Light" w:cs="Arial"/>
          <w:sz w:val="24"/>
          <w:szCs w:val="24"/>
          <w:lang w:val="es-ES_tradnl"/>
        </w:rPr>
        <w:t>la región</w:t>
      </w:r>
      <w:r w:rsidRPr="00AA11EC">
        <w:rPr>
          <w:rFonts w:ascii="Calibri Light" w:eastAsia="Calibri" w:hAnsi="Calibri Light" w:cs="Arial"/>
          <w:sz w:val="24"/>
          <w:szCs w:val="24"/>
          <w:lang w:val="es-ES_tradnl"/>
        </w:rPr>
        <w:t>.</w:t>
      </w:r>
    </w:p>
    <w:p w14:paraId="5BB46F9B" w14:textId="537EDBB8" w:rsidR="00AA11EC" w:rsidRDefault="00AA11EC" w:rsidP="00AA11EC">
      <w:pPr>
        <w:spacing w:after="0" w:line="240" w:lineRule="auto"/>
        <w:jc w:val="both"/>
        <w:rPr>
          <w:rFonts w:ascii="Calibri Light" w:eastAsia="Calibri" w:hAnsi="Calibri Light" w:cs="Arial"/>
          <w:sz w:val="24"/>
          <w:szCs w:val="24"/>
          <w:lang w:val="es-ES_tradnl"/>
        </w:rPr>
      </w:pPr>
    </w:p>
    <w:p w14:paraId="44BFF53D" w14:textId="4EDD8DB7" w:rsidR="008227B2" w:rsidRDefault="008227B2" w:rsidP="00AA11EC">
      <w:pPr>
        <w:spacing w:after="0" w:line="240" w:lineRule="auto"/>
        <w:jc w:val="both"/>
        <w:rPr>
          <w:rFonts w:ascii="Calibri Light" w:eastAsia="Calibri" w:hAnsi="Calibri Light" w:cs="Arial"/>
          <w:sz w:val="24"/>
          <w:szCs w:val="24"/>
          <w:lang w:val="es-ES_tradnl"/>
        </w:rPr>
      </w:pPr>
      <w:r w:rsidRPr="008227B2">
        <w:rPr>
          <w:rFonts w:ascii="Calibri Light" w:eastAsia="Calibri" w:hAnsi="Calibri Light" w:cs="Arial"/>
          <w:sz w:val="24"/>
          <w:szCs w:val="24"/>
          <w:lang w:val="es-ES_tradnl"/>
        </w:rPr>
        <w:t xml:space="preserve">La </w:t>
      </w:r>
      <w:r w:rsidR="00A466F8">
        <w:rPr>
          <w:rFonts w:ascii="Calibri Light" w:eastAsia="Calibri" w:hAnsi="Calibri Light" w:cs="Arial"/>
          <w:sz w:val="24"/>
          <w:szCs w:val="24"/>
          <w:lang w:val="es-ES_tradnl"/>
        </w:rPr>
        <w:t>intervención</w:t>
      </w:r>
      <w:r w:rsidRPr="008227B2">
        <w:rPr>
          <w:rFonts w:ascii="Calibri Light" w:eastAsia="Calibri" w:hAnsi="Calibri Light" w:cs="Arial"/>
          <w:sz w:val="24"/>
          <w:szCs w:val="24"/>
          <w:lang w:val="es-ES_tradnl"/>
        </w:rPr>
        <w:t xml:space="preserve"> del </w:t>
      </w:r>
      <w:r w:rsidR="00CA3A2B">
        <w:rPr>
          <w:rFonts w:ascii="Calibri Light" w:eastAsia="Calibri" w:hAnsi="Calibri Light" w:cs="Arial"/>
          <w:sz w:val="24"/>
          <w:szCs w:val="24"/>
          <w:lang w:val="es-ES_tradnl"/>
        </w:rPr>
        <w:t>E</w:t>
      </w:r>
      <w:r w:rsidR="00A66BEE">
        <w:rPr>
          <w:rFonts w:ascii="Calibri Light" w:eastAsia="Calibri" w:hAnsi="Calibri Light" w:cs="Arial"/>
          <w:sz w:val="24"/>
          <w:szCs w:val="24"/>
          <w:lang w:val="es-ES_tradnl"/>
        </w:rPr>
        <w:t xml:space="preserve">stado </w:t>
      </w:r>
      <w:r w:rsidRPr="008227B2">
        <w:rPr>
          <w:rFonts w:ascii="Calibri Light" w:eastAsia="Calibri" w:hAnsi="Calibri Light" w:cs="Arial"/>
          <w:sz w:val="24"/>
          <w:szCs w:val="24"/>
          <w:lang w:val="es-ES_tradnl"/>
        </w:rPr>
        <w:t>en este mercado</w:t>
      </w:r>
      <w:r>
        <w:rPr>
          <w:rFonts w:ascii="Calibri Light" w:eastAsia="Calibri" w:hAnsi="Calibri Light" w:cs="Arial"/>
          <w:sz w:val="24"/>
          <w:szCs w:val="24"/>
          <w:lang w:val="es-ES_tradnl"/>
        </w:rPr>
        <w:t xml:space="preserve">, </w:t>
      </w:r>
      <w:r w:rsidRPr="008227B2">
        <w:rPr>
          <w:rFonts w:ascii="Calibri Light" w:eastAsia="Calibri" w:hAnsi="Calibri Light" w:cs="Arial"/>
          <w:sz w:val="24"/>
          <w:szCs w:val="24"/>
          <w:lang w:val="es-ES_tradnl"/>
        </w:rPr>
        <w:t>a través de</w:t>
      </w:r>
      <w:r w:rsidR="00AE2C24">
        <w:rPr>
          <w:rFonts w:ascii="Calibri Light" w:eastAsia="Calibri" w:hAnsi="Calibri Light" w:cs="Arial"/>
          <w:sz w:val="24"/>
          <w:szCs w:val="24"/>
          <w:lang w:val="es-ES_tradnl"/>
        </w:rPr>
        <w:t>l</w:t>
      </w:r>
      <w:r w:rsidRPr="008227B2">
        <w:rPr>
          <w:rFonts w:ascii="Calibri Light" w:eastAsia="Calibri" w:hAnsi="Calibri Light" w:cs="Arial"/>
          <w:sz w:val="24"/>
          <w:szCs w:val="24"/>
          <w:lang w:val="es-ES_tradnl"/>
        </w:rPr>
        <w:t xml:space="preserve"> diseño e instrumentación de políticas públicas</w:t>
      </w:r>
      <w:r w:rsidR="00AE2C24">
        <w:rPr>
          <w:rFonts w:ascii="Calibri Light" w:eastAsia="Calibri" w:hAnsi="Calibri Light" w:cs="Arial"/>
          <w:sz w:val="24"/>
          <w:szCs w:val="24"/>
          <w:lang w:val="es-ES_tradnl"/>
        </w:rPr>
        <w:t xml:space="preserve">, </w:t>
      </w:r>
      <w:r w:rsidR="00AE2C24" w:rsidRPr="008227B2">
        <w:rPr>
          <w:rFonts w:ascii="Calibri Light" w:eastAsia="Calibri" w:hAnsi="Calibri Light" w:cs="Arial"/>
          <w:sz w:val="24"/>
          <w:szCs w:val="24"/>
          <w:lang w:val="es-ES_tradnl"/>
        </w:rPr>
        <w:t>es necesaria e imprescindible</w:t>
      </w:r>
      <w:r w:rsidRPr="008227B2">
        <w:rPr>
          <w:rFonts w:ascii="Calibri Light" w:eastAsia="Calibri" w:hAnsi="Calibri Light" w:cs="Arial"/>
          <w:sz w:val="24"/>
          <w:szCs w:val="24"/>
          <w:lang w:val="es-ES_tradnl"/>
        </w:rPr>
        <w:t xml:space="preserve">. La forma </w:t>
      </w:r>
      <w:r w:rsidR="002F0478">
        <w:rPr>
          <w:rFonts w:ascii="Calibri Light" w:eastAsia="Calibri" w:hAnsi="Calibri Light" w:cs="Arial"/>
          <w:sz w:val="24"/>
          <w:szCs w:val="24"/>
          <w:lang w:val="es-ES_tradnl"/>
        </w:rPr>
        <w:t>como lo haga</w:t>
      </w:r>
      <w:r w:rsidRPr="008227B2">
        <w:rPr>
          <w:rFonts w:ascii="Calibri Light" w:eastAsia="Calibri" w:hAnsi="Calibri Light" w:cs="Arial"/>
          <w:sz w:val="24"/>
          <w:szCs w:val="24"/>
          <w:lang w:val="es-ES_tradnl"/>
        </w:rPr>
        <w:t xml:space="preserve">, </w:t>
      </w:r>
      <w:r w:rsidR="00A66BEE">
        <w:rPr>
          <w:rFonts w:ascii="Calibri Light" w:eastAsia="Calibri" w:hAnsi="Calibri Light" w:cs="Arial"/>
          <w:sz w:val="24"/>
          <w:szCs w:val="24"/>
          <w:lang w:val="es-ES_tradnl"/>
        </w:rPr>
        <w:t>ya sea me</w:t>
      </w:r>
      <w:r w:rsidR="00AE2C24">
        <w:rPr>
          <w:rFonts w:ascii="Calibri Light" w:eastAsia="Calibri" w:hAnsi="Calibri Light" w:cs="Arial"/>
          <w:sz w:val="24"/>
          <w:szCs w:val="24"/>
          <w:lang w:val="es-ES_tradnl"/>
        </w:rPr>
        <w:t xml:space="preserve">diante </w:t>
      </w:r>
      <w:r w:rsidRPr="008227B2">
        <w:rPr>
          <w:rFonts w:ascii="Calibri Light" w:eastAsia="Calibri" w:hAnsi="Calibri Light" w:cs="Arial"/>
          <w:sz w:val="24"/>
          <w:szCs w:val="24"/>
          <w:lang w:val="es-ES_tradnl"/>
        </w:rPr>
        <w:t xml:space="preserve">un rol activo </w:t>
      </w:r>
      <w:r w:rsidR="00AE2C24">
        <w:rPr>
          <w:rFonts w:ascii="Calibri Light" w:eastAsia="Calibri" w:hAnsi="Calibri Light" w:cs="Arial"/>
          <w:sz w:val="24"/>
          <w:szCs w:val="24"/>
          <w:lang w:val="es-ES_tradnl"/>
        </w:rPr>
        <w:t xml:space="preserve">en el financiamiento o un </w:t>
      </w:r>
      <w:r w:rsidRPr="008227B2">
        <w:rPr>
          <w:rFonts w:ascii="Calibri Light" w:eastAsia="Calibri" w:hAnsi="Calibri Light" w:cs="Arial"/>
          <w:sz w:val="24"/>
          <w:szCs w:val="24"/>
          <w:lang w:val="es-ES_tradnl"/>
        </w:rPr>
        <w:t xml:space="preserve">perfil más cercano a la facilitación de </w:t>
      </w:r>
      <w:r w:rsidR="00AE2C24">
        <w:rPr>
          <w:rFonts w:ascii="Calibri Light" w:eastAsia="Calibri" w:hAnsi="Calibri Light" w:cs="Arial"/>
          <w:sz w:val="24"/>
          <w:szCs w:val="24"/>
          <w:lang w:val="es-ES_tradnl"/>
        </w:rPr>
        <w:t xml:space="preserve">subsidios u otras fórmulas </w:t>
      </w:r>
      <w:r w:rsidRPr="008227B2">
        <w:rPr>
          <w:rFonts w:ascii="Calibri Light" w:eastAsia="Calibri" w:hAnsi="Calibri Light" w:cs="Arial"/>
          <w:sz w:val="24"/>
          <w:szCs w:val="24"/>
          <w:lang w:val="es-ES_tradnl"/>
        </w:rPr>
        <w:t xml:space="preserve">dependerá, en gran medida, </w:t>
      </w:r>
      <w:r>
        <w:rPr>
          <w:rFonts w:ascii="Calibri Light" w:eastAsia="Calibri" w:hAnsi="Calibri Light" w:cs="Arial"/>
          <w:sz w:val="24"/>
          <w:szCs w:val="24"/>
          <w:lang w:val="es-ES_tradnl"/>
        </w:rPr>
        <w:t xml:space="preserve">del </w:t>
      </w:r>
      <w:r w:rsidRPr="008227B2">
        <w:rPr>
          <w:rFonts w:ascii="Calibri Light" w:eastAsia="Calibri" w:hAnsi="Calibri Light" w:cs="Arial"/>
          <w:sz w:val="24"/>
          <w:szCs w:val="24"/>
          <w:lang w:val="es-ES_tradnl"/>
        </w:rPr>
        <w:t xml:space="preserve">momento institucional, social y económico </w:t>
      </w:r>
      <w:r w:rsidR="00A66BEE">
        <w:rPr>
          <w:rFonts w:ascii="Calibri Light" w:eastAsia="Calibri" w:hAnsi="Calibri Light" w:cs="Arial"/>
          <w:sz w:val="24"/>
          <w:szCs w:val="24"/>
          <w:lang w:val="es-ES_tradnl"/>
        </w:rPr>
        <w:t xml:space="preserve">que atraviese </w:t>
      </w:r>
      <w:r w:rsidR="002F0478">
        <w:rPr>
          <w:rFonts w:ascii="Calibri Light" w:eastAsia="Calibri" w:hAnsi="Calibri Light" w:cs="Arial"/>
          <w:sz w:val="24"/>
          <w:szCs w:val="24"/>
          <w:lang w:val="es-ES_tradnl"/>
        </w:rPr>
        <w:t xml:space="preserve">el </w:t>
      </w:r>
      <w:r w:rsidRPr="008227B2">
        <w:rPr>
          <w:rFonts w:ascii="Calibri Light" w:eastAsia="Calibri" w:hAnsi="Calibri Light" w:cs="Arial"/>
          <w:sz w:val="24"/>
          <w:szCs w:val="24"/>
          <w:lang w:val="es-ES_tradnl"/>
        </w:rPr>
        <w:t xml:space="preserve">país. </w:t>
      </w:r>
      <w:r w:rsidR="00A66BEE">
        <w:rPr>
          <w:rFonts w:ascii="Calibri Light" w:eastAsia="Calibri" w:hAnsi="Calibri Light" w:cs="Arial"/>
          <w:sz w:val="24"/>
          <w:szCs w:val="24"/>
          <w:lang w:val="es-ES_tradnl"/>
        </w:rPr>
        <w:t xml:space="preserve">Independiente de ello, con miras a lograr un </w:t>
      </w:r>
      <w:r w:rsidR="00A66BEE">
        <w:rPr>
          <w:rFonts w:ascii="Calibri Light" w:hAnsi="Calibri Light" w:cs="Calibri Light"/>
          <w:sz w:val="24"/>
          <w:szCs w:val="24"/>
          <w:lang w:val="es-ES_tradnl"/>
        </w:rPr>
        <w:t>sistema de financiamiento eficaz y sostenible</w:t>
      </w:r>
      <w:r w:rsidR="00A66BEE">
        <w:rPr>
          <w:rFonts w:ascii="Calibri Light" w:hAnsi="Calibri Light" w:cs="Calibri Light"/>
          <w:sz w:val="24"/>
          <w:szCs w:val="24"/>
          <w:lang w:val="es-ES_tradnl"/>
        </w:rPr>
        <w:t>,</w:t>
      </w:r>
      <w:r w:rsidR="00A66BEE">
        <w:rPr>
          <w:rFonts w:ascii="Calibri Light" w:hAnsi="Calibri Light" w:cs="Calibri Light"/>
          <w:sz w:val="24"/>
          <w:szCs w:val="24"/>
          <w:lang w:val="es-ES_tradnl"/>
        </w:rPr>
        <w:t xml:space="preserve"> </w:t>
      </w:r>
      <w:r w:rsidR="002F0478">
        <w:rPr>
          <w:rFonts w:ascii="Calibri Light" w:eastAsia="Calibri" w:hAnsi="Calibri Light" w:cs="Arial"/>
          <w:sz w:val="24"/>
          <w:szCs w:val="24"/>
          <w:lang w:val="es-ES_tradnl"/>
        </w:rPr>
        <w:t xml:space="preserve">el Estado </w:t>
      </w:r>
      <w:r w:rsidR="00A66BEE">
        <w:rPr>
          <w:rFonts w:ascii="Calibri Light" w:eastAsia="Calibri" w:hAnsi="Calibri Light" w:cs="Arial"/>
          <w:sz w:val="24"/>
          <w:szCs w:val="24"/>
          <w:lang w:val="es-ES_tradnl"/>
        </w:rPr>
        <w:t xml:space="preserve">debe </w:t>
      </w:r>
      <w:r w:rsidR="002F0478">
        <w:rPr>
          <w:rFonts w:ascii="Calibri Light" w:eastAsia="Calibri" w:hAnsi="Calibri Light" w:cs="Arial"/>
          <w:sz w:val="24"/>
          <w:szCs w:val="24"/>
          <w:lang w:val="es-ES_tradnl"/>
        </w:rPr>
        <w:t xml:space="preserve">promover y </w:t>
      </w:r>
      <w:r w:rsidR="00A66BEE">
        <w:rPr>
          <w:rFonts w:ascii="Calibri Light" w:eastAsia="Calibri" w:hAnsi="Calibri Light" w:cs="Arial"/>
          <w:sz w:val="24"/>
          <w:szCs w:val="24"/>
          <w:lang w:val="es-ES_tradnl"/>
        </w:rPr>
        <w:t xml:space="preserve">animar la participación del </w:t>
      </w:r>
      <w:r w:rsidRPr="008227B2">
        <w:rPr>
          <w:rFonts w:ascii="Calibri Light" w:eastAsia="Calibri" w:hAnsi="Calibri Light" w:cs="Arial"/>
          <w:sz w:val="24"/>
          <w:szCs w:val="24"/>
          <w:lang w:val="es-ES_tradnl"/>
        </w:rPr>
        <w:t>sector privado</w:t>
      </w:r>
      <w:r w:rsidR="00A66BEE">
        <w:rPr>
          <w:rFonts w:ascii="Calibri Light" w:eastAsia="Calibri" w:hAnsi="Calibri Light" w:cs="Arial"/>
          <w:sz w:val="24"/>
          <w:szCs w:val="24"/>
          <w:lang w:val="es-ES_tradnl"/>
        </w:rPr>
        <w:t xml:space="preserve">, apalancando </w:t>
      </w:r>
      <w:r w:rsidR="002F0478">
        <w:rPr>
          <w:rFonts w:ascii="Calibri Light" w:eastAsia="Calibri" w:hAnsi="Calibri Light" w:cs="Arial"/>
          <w:sz w:val="24"/>
          <w:szCs w:val="24"/>
          <w:lang w:val="es-ES_tradnl"/>
        </w:rPr>
        <w:t xml:space="preserve">y acrecentando </w:t>
      </w:r>
      <w:r w:rsidR="00A66BEE">
        <w:rPr>
          <w:rFonts w:ascii="Calibri Light" w:eastAsia="Calibri" w:hAnsi="Calibri Light" w:cs="Arial"/>
          <w:sz w:val="24"/>
          <w:szCs w:val="24"/>
          <w:lang w:val="es-ES_tradnl"/>
        </w:rPr>
        <w:t>los recursos disponibles</w:t>
      </w:r>
      <w:r w:rsidR="002F0478">
        <w:rPr>
          <w:rFonts w:ascii="Calibri Light" w:eastAsia="Calibri" w:hAnsi="Calibri Light" w:cs="Arial"/>
          <w:sz w:val="24"/>
          <w:szCs w:val="24"/>
          <w:lang w:val="es-ES_tradnl"/>
        </w:rPr>
        <w:t xml:space="preserve"> para este mercado</w:t>
      </w:r>
      <w:r w:rsidR="00A66BEE">
        <w:rPr>
          <w:rFonts w:ascii="Calibri Light" w:eastAsia="Calibri" w:hAnsi="Calibri Light" w:cs="Arial"/>
          <w:sz w:val="24"/>
          <w:szCs w:val="24"/>
          <w:lang w:val="es-ES_tradnl"/>
        </w:rPr>
        <w:t>.</w:t>
      </w:r>
    </w:p>
    <w:p w14:paraId="073F47E1" w14:textId="77777777" w:rsidR="008227B2" w:rsidRDefault="008227B2" w:rsidP="00AA11EC">
      <w:pPr>
        <w:spacing w:after="0" w:line="240" w:lineRule="auto"/>
        <w:jc w:val="both"/>
        <w:rPr>
          <w:rFonts w:ascii="Calibri Light" w:eastAsia="Calibri" w:hAnsi="Calibri Light" w:cs="Arial"/>
          <w:sz w:val="24"/>
          <w:szCs w:val="24"/>
          <w:lang w:val="es-ES_tradnl"/>
        </w:rPr>
      </w:pPr>
    </w:p>
    <w:p w14:paraId="1A80C2C3" w14:textId="77777777" w:rsidR="00FC7D95" w:rsidRDefault="00BD028B" w:rsidP="00BD028B">
      <w:pPr>
        <w:spacing w:after="0" w:line="240" w:lineRule="auto"/>
        <w:jc w:val="both"/>
        <w:rPr>
          <w:rFonts w:ascii="Calibri Light" w:eastAsia="Calibri" w:hAnsi="Calibri Light" w:cs="Arial"/>
          <w:sz w:val="24"/>
          <w:szCs w:val="24"/>
          <w:lang w:val="es-ES_tradnl"/>
        </w:rPr>
      </w:pPr>
      <w:r>
        <w:rPr>
          <w:rFonts w:ascii="Calibri Light" w:eastAsia="Calibri" w:hAnsi="Calibri Light" w:cs="Arial"/>
          <w:sz w:val="24"/>
          <w:szCs w:val="24"/>
          <w:lang w:val="es-ES_tradnl"/>
        </w:rPr>
        <w:t xml:space="preserve">La necesidad </w:t>
      </w:r>
      <w:r w:rsidRPr="00BD028B">
        <w:rPr>
          <w:rFonts w:ascii="Calibri Light" w:eastAsia="Calibri" w:hAnsi="Calibri Light" w:cs="Arial"/>
          <w:sz w:val="24"/>
          <w:szCs w:val="24"/>
          <w:lang w:val="es-ES_tradnl"/>
        </w:rPr>
        <w:t xml:space="preserve">de </w:t>
      </w:r>
      <w:r>
        <w:rPr>
          <w:rFonts w:ascii="Calibri Light" w:eastAsia="Calibri" w:hAnsi="Calibri Light" w:cs="Arial"/>
          <w:sz w:val="24"/>
          <w:szCs w:val="24"/>
          <w:lang w:val="es-ES_tradnl"/>
        </w:rPr>
        <w:t xml:space="preserve">emprender </w:t>
      </w:r>
      <w:r w:rsidRPr="00BD028B">
        <w:rPr>
          <w:rFonts w:ascii="Calibri Light" w:eastAsia="Calibri" w:hAnsi="Calibri Light" w:cs="Arial"/>
          <w:sz w:val="24"/>
          <w:szCs w:val="24"/>
          <w:lang w:val="es-ES_tradnl"/>
        </w:rPr>
        <w:t xml:space="preserve">acciones de mitigación y adaptación </w:t>
      </w:r>
      <w:r>
        <w:rPr>
          <w:rFonts w:ascii="Calibri Light" w:eastAsia="Calibri" w:hAnsi="Calibri Light" w:cs="Arial"/>
          <w:sz w:val="24"/>
          <w:szCs w:val="24"/>
          <w:lang w:val="es-ES_tradnl"/>
        </w:rPr>
        <w:t xml:space="preserve">frente al cambio climático a nivel global, trae oportunidades de financiamiento para los mercados de vivienda, principalmente de países de ingresos bajos y medios, mediante fondos concesionales. </w:t>
      </w:r>
      <w:r w:rsidRPr="00BD028B">
        <w:rPr>
          <w:rFonts w:ascii="Calibri Light" w:eastAsia="Calibri" w:hAnsi="Calibri Light" w:cs="Arial"/>
          <w:sz w:val="24"/>
          <w:szCs w:val="24"/>
          <w:lang w:val="es-ES_tradnl"/>
        </w:rPr>
        <w:t xml:space="preserve">Existen diversas iniciativas que han diseñado productos de </w:t>
      </w:r>
      <w:r>
        <w:rPr>
          <w:rFonts w:ascii="Calibri Light" w:eastAsia="Calibri" w:hAnsi="Calibri Light" w:cs="Arial"/>
          <w:sz w:val="24"/>
          <w:szCs w:val="24"/>
          <w:lang w:val="es-ES_tradnl"/>
        </w:rPr>
        <w:t>“</w:t>
      </w:r>
      <w:r w:rsidRPr="00BD028B">
        <w:rPr>
          <w:rFonts w:ascii="Calibri Light" w:eastAsia="Calibri" w:hAnsi="Calibri Light" w:cs="Arial"/>
          <w:sz w:val="24"/>
          <w:szCs w:val="24"/>
          <w:lang w:val="es-ES_tradnl"/>
        </w:rPr>
        <w:t>financiamiento verde</w:t>
      </w:r>
      <w:r>
        <w:rPr>
          <w:rFonts w:ascii="Calibri Light" w:eastAsia="Calibri" w:hAnsi="Calibri Light" w:cs="Arial"/>
          <w:sz w:val="24"/>
          <w:szCs w:val="24"/>
          <w:lang w:val="es-ES_tradnl"/>
        </w:rPr>
        <w:t>”</w:t>
      </w:r>
      <w:r w:rsidRPr="00BD028B">
        <w:rPr>
          <w:rFonts w:ascii="Calibri Light" w:eastAsia="Calibri" w:hAnsi="Calibri Light" w:cs="Arial"/>
          <w:sz w:val="24"/>
          <w:szCs w:val="24"/>
          <w:lang w:val="es-ES_tradnl"/>
        </w:rPr>
        <w:t>, adaptados a la realidad de cada país de manera muy exitosa.</w:t>
      </w:r>
    </w:p>
    <w:p w14:paraId="27E38161" w14:textId="77777777" w:rsidR="00FC7D95" w:rsidRDefault="00FC7D95" w:rsidP="00BD028B">
      <w:pPr>
        <w:spacing w:after="0" w:line="240" w:lineRule="auto"/>
        <w:jc w:val="both"/>
        <w:rPr>
          <w:rFonts w:ascii="Calibri Light" w:eastAsia="Calibri" w:hAnsi="Calibri Light" w:cs="Arial"/>
          <w:sz w:val="24"/>
          <w:szCs w:val="24"/>
          <w:lang w:val="es-ES_tradnl"/>
        </w:rPr>
      </w:pPr>
    </w:p>
    <w:p w14:paraId="094E45A3" w14:textId="30D2D8B3" w:rsidR="00B94424" w:rsidRDefault="00FC7D95" w:rsidP="00BD028B">
      <w:pPr>
        <w:spacing w:after="0" w:line="240" w:lineRule="auto"/>
        <w:jc w:val="both"/>
        <w:rPr>
          <w:rFonts w:ascii="Calibri Light" w:hAnsi="Calibri Light" w:cs="Arial"/>
          <w:b/>
          <w:sz w:val="24"/>
          <w:szCs w:val="24"/>
          <w:lang w:val="es-ES_tradnl"/>
        </w:rPr>
      </w:pPr>
      <w:r>
        <w:rPr>
          <w:rFonts w:ascii="Calibri Light" w:eastAsia="Calibri" w:hAnsi="Calibri Light" w:cs="Arial"/>
          <w:sz w:val="24"/>
          <w:szCs w:val="24"/>
          <w:lang w:val="es-ES_tradnl"/>
        </w:rPr>
        <w:t xml:space="preserve">La participación de </w:t>
      </w:r>
      <w:r w:rsidR="00BD028B">
        <w:rPr>
          <w:rFonts w:ascii="Calibri Light" w:hAnsi="Calibri Light" w:cs="Arial"/>
          <w:sz w:val="24"/>
          <w:szCs w:val="24"/>
          <w:lang w:val="es-ES_tradnl"/>
        </w:rPr>
        <w:t xml:space="preserve">los </w:t>
      </w:r>
      <w:r w:rsidR="00817479" w:rsidRPr="00817479">
        <w:rPr>
          <w:rFonts w:ascii="Calibri Light" w:hAnsi="Calibri Light" w:cs="Arial"/>
          <w:sz w:val="24"/>
          <w:szCs w:val="24"/>
          <w:lang w:val="es-ES_tradnl"/>
        </w:rPr>
        <w:t>BPD</w:t>
      </w:r>
      <w:r w:rsidR="0014757D">
        <w:rPr>
          <w:rFonts w:ascii="Calibri Light" w:hAnsi="Calibri Light" w:cs="Arial"/>
          <w:sz w:val="24"/>
          <w:szCs w:val="24"/>
          <w:lang w:val="es-ES_tradnl"/>
        </w:rPr>
        <w:t xml:space="preserve"> </w:t>
      </w:r>
      <w:r w:rsidR="00817479" w:rsidRPr="00817479">
        <w:rPr>
          <w:rFonts w:ascii="Calibri Light" w:hAnsi="Calibri Light" w:cs="Arial"/>
          <w:sz w:val="24"/>
          <w:szCs w:val="24"/>
          <w:lang w:val="es-ES_tradnl"/>
        </w:rPr>
        <w:t>como entidades financieras del Estado</w:t>
      </w:r>
      <w:r w:rsidR="00CA3A2B">
        <w:rPr>
          <w:rFonts w:ascii="Calibri Light" w:hAnsi="Calibri Light" w:cs="Arial"/>
          <w:sz w:val="24"/>
          <w:szCs w:val="24"/>
          <w:lang w:val="es-ES_tradnl"/>
        </w:rPr>
        <w:t xml:space="preserve"> </w:t>
      </w:r>
      <w:r w:rsidR="00CA3A2B">
        <w:rPr>
          <w:rFonts w:ascii="Calibri Light" w:hAnsi="Calibri Light" w:cs="Arial"/>
          <w:sz w:val="24"/>
          <w:szCs w:val="24"/>
          <w:lang w:val="es-ES_tradnl"/>
        </w:rPr>
        <w:t>es clave,</w:t>
      </w:r>
      <w:r w:rsidR="0014757D">
        <w:rPr>
          <w:rFonts w:ascii="Calibri Light" w:hAnsi="Calibri Light" w:cs="Arial"/>
          <w:sz w:val="24"/>
          <w:szCs w:val="24"/>
          <w:lang w:val="es-ES_tradnl"/>
        </w:rPr>
        <w:t xml:space="preserve"> buscan</w:t>
      </w:r>
      <w:r>
        <w:rPr>
          <w:rFonts w:ascii="Calibri Light" w:hAnsi="Calibri Light" w:cs="Arial"/>
          <w:sz w:val="24"/>
          <w:szCs w:val="24"/>
          <w:lang w:val="es-ES_tradnl"/>
        </w:rPr>
        <w:t>do</w:t>
      </w:r>
      <w:r w:rsidR="0014757D">
        <w:rPr>
          <w:rFonts w:ascii="Calibri Light" w:hAnsi="Calibri Light" w:cs="Arial"/>
          <w:sz w:val="24"/>
          <w:szCs w:val="24"/>
          <w:lang w:val="es-ES_tradnl"/>
        </w:rPr>
        <w:t xml:space="preserve"> </w:t>
      </w:r>
      <w:r w:rsidR="00817479" w:rsidRPr="00817479">
        <w:rPr>
          <w:rFonts w:ascii="Calibri Light" w:hAnsi="Calibri Light" w:cs="Arial"/>
          <w:sz w:val="24"/>
          <w:szCs w:val="24"/>
          <w:lang w:val="es-ES_tradnl"/>
        </w:rPr>
        <w:t>desarroll</w:t>
      </w:r>
      <w:r w:rsidR="0014757D">
        <w:rPr>
          <w:rFonts w:ascii="Calibri Light" w:hAnsi="Calibri Light" w:cs="Arial"/>
          <w:sz w:val="24"/>
          <w:szCs w:val="24"/>
          <w:lang w:val="es-ES_tradnl"/>
        </w:rPr>
        <w:t>ar</w:t>
      </w:r>
      <w:r w:rsidR="00817479" w:rsidRPr="00817479">
        <w:rPr>
          <w:rFonts w:ascii="Calibri Light" w:hAnsi="Calibri Light" w:cs="Arial"/>
          <w:sz w:val="24"/>
          <w:szCs w:val="24"/>
          <w:lang w:val="es-ES_tradnl"/>
        </w:rPr>
        <w:t xml:space="preserve"> e</w:t>
      </w:r>
      <w:r w:rsidR="00BD028B">
        <w:rPr>
          <w:rFonts w:ascii="Calibri Light" w:hAnsi="Calibri Light" w:cs="Arial"/>
          <w:sz w:val="24"/>
          <w:szCs w:val="24"/>
          <w:lang w:val="es-ES_tradnl"/>
        </w:rPr>
        <w:t xml:space="preserve">l </w:t>
      </w:r>
      <w:r w:rsidR="00817479" w:rsidRPr="00817479">
        <w:rPr>
          <w:rFonts w:ascii="Calibri Light" w:hAnsi="Calibri Light" w:cs="Arial"/>
          <w:sz w:val="24"/>
          <w:szCs w:val="24"/>
          <w:lang w:val="es-ES_tradnl"/>
        </w:rPr>
        <w:t>sector</w:t>
      </w:r>
      <w:r w:rsidR="00BD028B">
        <w:rPr>
          <w:rFonts w:ascii="Calibri Light" w:hAnsi="Calibri Light" w:cs="Arial"/>
          <w:sz w:val="24"/>
          <w:szCs w:val="24"/>
          <w:lang w:val="es-ES_tradnl"/>
        </w:rPr>
        <w:t xml:space="preserve"> vivienda</w:t>
      </w:r>
      <w:r>
        <w:rPr>
          <w:rFonts w:ascii="Calibri Light" w:hAnsi="Calibri Light" w:cs="Arial"/>
          <w:sz w:val="24"/>
          <w:szCs w:val="24"/>
          <w:lang w:val="es-ES_tradnl"/>
        </w:rPr>
        <w:t xml:space="preserve"> y</w:t>
      </w:r>
      <w:r w:rsidR="0014757D">
        <w:rPr>
          <w:rFonts w:ascii="Calibri Light" w:hAnsi="Calibri Light" w:cs="Arial"/>
          <w:sz w:val="24"/>
          <w:szCs w:val="24"/>
          <w:lang w:val="es-ES_tradnl"/>
        </w:rPr>
        <w:t xml:space="preserve"> contrarrestando </w:t>
      </w:r>
      <w:r w:rsidR="00817479" w:rsidRPr="00817479">
        <w:rPr>
          <w:rFonts w:ascii="Calibri Light" w:hAnsi="Calibri Light" w:cs="Arial"/>
          <w:sz w:val="24"/>
          <w:szCs w:val="24"/>
          <w:lang w:val="es-ES_tradnl"/>
        </w:rPr>
        <w:t>la tradicionalmente limitada</w:t>
      </w:r>
      <w:r w:rsidR="0014757D">
        <w:rPr>
          <w:rFonts w:ascii="Calibri Light" w:hAnsi="Calibri Light" w:cs="Arial"/>
          <w:sz w:val="24"/>
          <w:szCs w:val="24"/>
          <w:lang w:val="es-ES_tradnl"/>
        </w:rPr>
        <w:t xml:space="preserve"> </w:t>
      </w:r>
      <w:r w:rsidR="0014757D" w:rsidRPr="00817479">
        <w:rPr>
          <w:rFonts w:ascii="Calibri Light" w:hAnsi="Calibri Light" w:cs="Arial"/>
          <w:sz w:val="24"/>
          <w:szCs w:val="24"/>
          <w:lang w:val="es-ES_tradnl"/>
        </w:rPr>
        <w:t>participación de la banca comercial</w:t>
      </w:r>
      <w:r w:rsidR="00817479" w:rsidRPr="00817479">
        <w:rPr>
          <w:rFonts w:ascii="Calibri Light" w:hAnsi="Calibri Light" w:cs="Arial"/>
          <w:sz w:val="24"/>
          <w:szCs w:val="24"/>
          <w:lang w:val="es-ES_tradnl"/>
        </w:rPr>
        <w:t>.</w:t>
      </w:r>
      <w:r w:rsidR="00BD028B" w:rsidRPr="00D7596E">
        <w:rPr>
          <w:rFonts w:ascii="Calibri Light" w:hAnsi="Calibri Light" w:cs="Arial"/>
          <w:sz w:val="24"/>
          <w:szCs w:val="24"/>
          <w:lang w:val="es-ES_tradnl"/>
        </w:rPr>
        <w:t xml:space="preserve"> </w:t>
      </w:r>
      <w:r>
        <w:rPr>
          <w:rFonts w:ascii="Calibri Light" w:hAnsi="Calibri Light" w:cs="Arial"/>
          <w:sz w:val="24"/>
          <w:szCs w:val="24"/>
          <w:lang w:val="es-ES_tradnl"/>
        </w:rPr>
        <w:t xml:space="preserve">En este contexto, el BID pone a disposición de los países de la región y sus BPD una amplia gama de </w:t>
      </w:r>
      <w:r w:rsidRPr="00FC7D95">
        <w:rPr>
          <w:rFonts w:ascii="Calibri Light" w:hAnsi="Calibri Light" w:cs="Arial"/>
          <w:sz w:val="24"/>
          <w:szCs w:val="24"/>
          <w:lang w:val="es-ES_tradnl"/>
        </w:rPr>
        <w:t>instrumentos de financiamiento, garantía y asistencia técnica</w:t>
      </w:r>
      <w:r w:rsidR="008227B2">
        <w:rPr>
          <w:rFonts w:ascii="Calibri Light" w:hAnsi="Calibri Light" w:cs="Arial"/>
          <w:sz w:val="24"/>
          <w:szCs w:val="24"/>
          <w:lang w:val="es-ES_tradnl"/>
        </w:rPr>
        <w:t xml:space="preserve">, </w:t>
      </w:r>
      <w:r w:rsidR="008227B2" w:rsidRPr="008227B2">
        <w:rPr>
          <w:rFonts w:ascii="Calibri Light" w:hAnsi="Calibri Light" w:cs="Arial"/>
          <w:sz w:val="24"/>
          <w:szCs w:val="24"/>
          <w:lang w:val="es-ES_tradnl"/>
        </w:rPr>
        <w:t xml:space="preserve">así como </w:t>
      </w:r>
      <w:r w:rsidR="00CA3A2B">
        <w:rPr>
          <w:rFonts w:ascii="Calibri Light" w:hAnsi="Calibri Light" w:cs="Arial"/>
          <w:sz w:val="24"/>
          <w:szCs w:val="24"/>
          <w:lang w:val="es-ES_tradnl"/>
        </w:rPr>
        <w:t xml:space="preserve">una </w:t>
      </w:r>
      <w:r w:rsidR="008227B2">
        <w:rPr>
          <w:rFonts w:ascii="Calibri Light" w:hAnsi="Calibri Light" w:cs="Arial"/>
          <w:sz w:val="24"/>
          <w:szCs w:val="24"/>
          <w:lang w:val="es-ES_tradnl"/>
        </w:rPr>
        <w:t xml:space="preserve">vasta </w:t>
      </w:r>
      <w:r w:rsidR="008227B2" w:rsidRPr="008227B2">
        <w:rPr>
          <w:rFonts w:ascii="Calibri Light" w:hAnsi="Calibri Light" w:cs="Arial"/>
          <w:sz w:val="24"/>
          <w:szCs w:val="24"/>
          <w:lang w:val="es-ES_tradnl"/>
        </w:rPr>
        <w:t xml:space="preserve">experiencia </w:t>
      </w:r>
      <w:r w:rsidR="008227B2">
        <w:rPr>
          <w:rFonts w:ascii="Calibri Light" w:hAnsi="Calibri Light" w:cs="Arial"/>
          <w:sz w:val="24"/>
          <w:szCs w:val="24"/>
          <w:lang w:val="es-ES_tradnl"/>
        </w:rPr>
        <w:t xml:space="preserve">en </w:t>
      </w:r>
      <w:r w:rsidR="008227B2" w:rsidRPr="008227B2">
        <w:rPr>
          <w:rFonts w:ascii="Calibri Light" w:hAnsi="Calibri Light" w:cs="Arial"/>
          <w:sz w:val="24"/>
          <w:szCs w:val="24"/>
          <w:lang w:val="es-ES_tradnl"/>
        </w:rPr>
        <w:t xml:space="preserve">la región que lo convierten en un socio </w:t>
      </w:r>
      <w:r w:rsidR="008227B2">
        <w:rPr>
          <w:rFonts w:ascii="Calibri Light" w:hAnsi="Calibri Light" w:cs="Arial"/>
          <w:sz w:val="24"/>
          <w:szCs w:val="24"/>
          <w:lang w:val="es-ES_tradnl"/>
        </w:rPr>
        <w:t xml:space="preserve">clave, </w:t>
      </w:r>
      <w:r w:rsidR="00CA3A2B">
        <w:rPr>
          <w:rFonts w:ascii="Calibri Light" w:hAnsi="Calibri Light" w:cs="Arial"/>
          <w:sz w:val="24"/>
          <w:szCs w:val="24"/>
          <w:lang w:val="es-ES_tradnl"/>
        </w:rPr>
        <w:t xml:space="preserve">no solo a nivel </w:t>
      </w:r>
      <w:r w:rsidR="008227B2" w:rsidRPr="008227B2">
        <w:rPr>
          <w:rFonts w:ascii="Calibri Light" w:hAnsi="Calibri Light" w:cs="Arial"/>
          <w:sz w:val="24"/>
          <w:szCs w:val="24"/>
          <w:lang w:val="es-ES_tradnl"/>
        </w:rPr>
        <w:t xml:space="preserve">financiero </w:t>
      </w:r>
      <w:bookmarkEnd w:id="26"/>
      <w:r w:rsidR="00CA3A2B">
        <w:rPr>
          <w:rFonts w:ascii="Calibri Light" w:hAnsi="Calibri Light" w:cs="Arial"/>
          <w:sz w:val="24"/>
          <w:szCs w:val="24"/>
          <w:lang w:val="es-ES_tradnl"/>
        </w:rPr>
        <w:t xml:space="preserve">sino también </w:t>
      </w:r>
      <w:r w:rsidR="008227B2">
        <w:rPr>
          <w:rFonts w:ascii="Calibri Light" w:hAnsi="Calibri Light" w:cs="Arial"/>
          <w:sz w:val="24"/>
          <w:szCs w:val="24"/>
          <w:lang w:val="es-ES_tradnl"/>
        </w:rPr>
        <w:t>técnico.</w:t>
      </w:r>
      <w:r w:rsidR="00B94424" w:rsidRPr="00D7596E">
        <w:rPr>
          <w:rFonts w:ascii="Calibri Light" w:hAnsi="Calibri Light" w:cs="Arial"/>
          <w:sz w:val="24"/>
          <w:szCs w:val="24"/>
          <w:lang w:val="es-ES_tradnl"/>
        </w:rPr>
        <w:br w:type="page"/>
      </w:r>
    </w:p>
    <w:p w14:paraId="1D1D35E3" w14:textId="35AB57A6" w:rsidR="00BC6E70" w:rsidRPr="009863F2" w:rsidRDefault="00BC6E70" w:rsidP="009863F2">
      <w:pPr>
        <w:pStyle w:val="Heading1"/>
        <w:spacing w:after="0" w:line="240" w:lineRule="auto"/>
        <w:contextualSpacing w:val="0"/>
        <w:rPr>
          <w:rFonts w:ascii="Calibri Light" w:hAnsi="Calibri Light" w:cs="Arial"/>
          <w:sz w:val="24"/>
          <w:szCs w:val="24"/>
        </w:rPr>
      </w:pPr>
      <w:bookmarkStart w:id="29" w:name="_Toc504406843"/>
      <w:r w:rsidRPr="009863F2">
        <w:rPr>
          <w:rFonts w:ascii="Calibri Light" w:hAnsi="Calibri Light" w:cs="Arial"/>
          <w:sz w:val="24"/>
          <w:szCs w:val="24"/>
        </w:rPr>
        <w:lastRenderedPageBreak/>
        <w:t>REFERENCIAS</w:t>
      </w:r>
      <w:bookmarkEnd w:id="27"/>
      <w:bookmarkEnd w:id="28"/>
      <w:bookmarkEnd w:id="29"/>
    </w:p>
    <w:p w14:paraId="36D938FE" w14:textId="77777777" w:rsidR="00720634" w:rsidRDefault="00720634" w:rsidP="009863F2">
      <w:pPr>
        <w:spacing w:after="0" w:line="240" w:lineRule="auto"/>
        <w:ind w:left="720" w:hanging="720"/>
        <w:jc w:val="both"/>
        <w:rPr>
          <w:rFonts w:ascii="Calibri Light" w:eastAsia="Calibri" w:hAnsi="Calibri Light" w:cs="Arial"/>
          <w:sz w:val="24"/>
          <w:szCs w:val="24"/>
          <w:lang w:val="es-ES_tradnl"/>
        </w:rPr>
      </w:pPr>
    </w:p>
    <w:p w14:paraId="192C5BC7" w14:textId="0CD73357" w:rsidR="008138A4" w:rsidRPr="009863F2" w:rsidRDefault="00680AC7" w:rsidP="009863F2">
      <w:pPr>
        <w:spacing w:after="0" w:line="240" w:lineRule="auto"/>
        <w:ind w:left="720" w:hanging="720"/>
        <w:jc w:val="both"/>
        <w:rPr>
          <w:rFonts w:ascii="Calibri Light" w:eastAsia="Calibri" w:hAnsi="Calibri Light" w:cs="Arial"/>
          <w:sz w:val="24"/>
          <w:szCs w:val="24"/>
          <w:lang w:val="es-ES_tradnl"/>
        </w:rPr>
      </w:pPr>
      <w:r w:rsidRPr="009863F2">
        <w:rPr>
          <w:rFonts w:ascii="Calibri Light" w:eastAsia="Calibri" w:hAnsi="Calibri Light" w:cs="Arial"/>
          <w:sz w:val="24"/>
          <w:szCs w:val="24"/>
          <w:lang w:val="es-ES_tradnl"/>
        </w:rPr>
        <w:t xml:space="preserve">Banco Mundial. </w:t>
      </w:r>
      <w:r w:rsidR="00BC6E70" w:rsidRPr="009863F2">
        <w:rPr>
          <w:rFonts w:ascii="Calibri Light" w:eastAsia="Calibri" w:hAnsi="Calibri Light" w:cs="Arial"/>
          <w:sz w:val="24"/>
          <w:szCs w:val="24"/>
          <w:lang w:val="es-ES_tradnl"/>
        </w:rPr>
        <w:t xml:space="preserve">2010. </w:t>
      </w:r>
      <w:r w:rsidR="00BC6E70" w:rsidRPr="009863F2">
        <w:rPr>
          <w:rFonts w:ascii="Calibri Light" w:eastAsia="Calibri" w:hAnsi="Calibri Light" w:cs="Arial"/>
          <w:i/>
          <w:sz w:val="24"/>
          <w:szCs w:val="24"/>
          <w:lang w:val="es-ES_tradnl"/>
        </w:rPr>
        <w:t xml:space="preserve">Mercados de capitales emergentes y globalización: </w:t>
      </w:r>
      <w:r w:rsidRPr="009863F2">
        <w:rPr>
          <w:rFonts w:ascii="Calibri Light" w:eastAsia="Calibri" w:hAnsi="Calibri Light" w:cs="Arial"/>
          <w:i/>
          <w:sz w:val="24"/>
          <w:szCs w:val="24"/>
          <w:lang w:val="es-ES_tradnl"/>
        </w:rPr>
        <w:t>l</w:t>
      </w:r>
      <w:r w:rsidR="00BC6E70" w:rsidRPr="009863F2">
        <w:rPr>
          <w:rFonts w:ascii="Calibri Light" w:eastAsia="Calibri" w:hAnsi="Calibri Light" w:cs="Arial"/>
          <w:i/>
          <w:sz w:val="24"/>
          <w:szCs w:val="24"/>
          <w:lang w:val="es-ES_tradnl"/>
        </w:rPr>
        <w:t>a experiencia de América Latina</w:t>
      </w:r>
      <w:r w:rsidR="00BC6E70" w:rsidRPr="009863F2">
        <w:rPr>
          <w:rFonts w:ascii="Calibri Light" w:eastAsia="Calibri" w:hAnsi="Calibri Light" w:cs="Arial"/>
          <w:sz w:val="24"/>
          <w:szCs w:val="24"/>
          <w:lang w:val="es-ES_tradnl"/>
        </w:rPr>
        <w:t xml:space="preserve">. </w:t>
      </w:r>
      <w:r w:rsidR="00BC6E70" w:rsidRPr="009863F2">
        <w:rPr>
          <w:rFonts w:ascii="Calibri Light" w:hAnsi="Calibri Light" w:cs="Arial"/>
          <w:sz w:val="24"/>
          <w:szCs w:val="24"/>
          <w:lang w:val="es-ES_tradnl"/>
        </w:rPr>
        <w:t xml:space="preserve">Washington, D.C.: </w:t>
      </w:r>
      <w:r w:rsidR="00BC6E70" w:rsidRPr="009863F2">
        <w:rPr>
          <w:rFonts w:ascii="Calibri Light" w:eastAsia="Calibri" w:hAnsi="Calibri Light" w:cs="Arial"/>
          <w:sz w:val="24"/>
          <w:szCs w:val="24"/>
          <w:lang w:val="es-ES_tradnl"/>
        </w:rPr>
        <w:t>Banco Mundial.</w:t>
      </w:r>
      <w:r w:rsidR="008138A4" w:rsidRPr="009863F2">
        <w:rPr>
          <w:rFonts w:ascii="Calibri Light" w:eastAsia="Calibri" w:hAnsi="Calibri Light" w:cs="Arial"/>
          <w:sz w:val="24"/>
          <w:szCs w:val="24"/>
          <w:lang w:val="es-ES_tradnl"/>
        </w:rPr>
        <w:t xml:space="preserve"> </w:t>
      </w:r>
    </w:p>
    <w:p w14:paraId="0F82C872"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664BB298" w14:textId="5E6CD05F" w:rsidR="00BC6E70" w:rsidRPr="009863F2" w:rsidRDefault="00680AC7"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BID (Banco Interamericano de Desarrollo). </w:t>
      </w:r>
      <w:r w:rsidR="00BC6E70" w:rsidRPr="009863F2">
        <w:rPr>
          <w:rFonts w:ascii="Calibri Light" w:hAnsi="Calibri Light" w:cs="Arial"/>
          <w:sz w:val="24"/>
          <w:szCs w:val="24"/>
          <w:lang w:val="es-ES_tradnl"/>
        </w:rPr>
        <w:t xml:space="preserve">2014. </w:t>
      </w:r>
      <w:r w:rsidR="00BC6E70" w:rsidRPr="009863F2">
        <w:rPr>
          <w:rFonts w:ascii="Calibri Light" w:hAnsi="Calibri Light" w:cs="Arial"/>
          <w:i/>
          <w:sz w:val="24"/>
          <w:szCs w:val="24"/>
          <w:lang w:val="es-ES_tradnl"/>
        </w:rPr>
        <w:t>Documento de Marco Sectorial de Respaldo para PYME y Acceso y Supervisión Financieros</w:t>
      </w:r>
      <w:r w:rsidR="00BC6E70" w:rsidRPr="009863F2">
        <w:rPr>
          <w:rFonts w:ascii="Calibri Light" w:hAnsi="Calibri Light" w:cs="Arial"/>
          <w:sz w:val="24"/>
          <w:szCs w:val="24"/>
          <w:lang w:val="es-ES_tradnl"/>
        </w:rPr>
        <w:t xml:space="preserve">. Washington, D.C.: </w:t>
      </w:r>
      <w:r w:rsidRPr="009863F2">
        <w:rPr>
          <w:rFonts w:ascii="Calibri Light" w:hAnsi="Calibri Light" w:cs="Arial"/>
          <w:sz w:val="24"/>
          <w:szCs w:val="24"/>
          <w:lang w:val="es-ES_tradnl"/>
        </w:rPr>
        <w:t>BID</w:t>
      </w:r>
      <w:r w:rsidR="00BC6E70" w:rsidRPr="009863F2">
        <w:rPr>
          <w:rFonts w:ascii="Calibri Light" w:hAnsi="Calibri Light" w:cs="Arial"/>
          <w:sz w:val="24"/>
          <w:szCs w:val="24"/>
          <w:lang w:val="es-ES_tradnl"/>
        </w:rPr>
        <w:t>.</w:t>
      </w:r>
    </w:p>
    <w:p w14:paraId="3660F8A9"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1CA10B1E" w14:textId="4DE3C748" w:rsidR="00BC6E70" w:rsidRPr="009863F2" w:rsidRDefault="00BC6E70"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Bebczuk, </w:t>
      </w:r>
      <w:r w:rsidR="00680AC7" w:rsidRPr="009863F2">
        <w:rPr>
          <w:rFonts w:ascii="Calibri Light" w:hAnsi="Calibri Light" w:cs="Arial"/>
          <w:sz w:val="24"/>
          <w:szCs w:val="24"/>
          <w:lang w:val="es-ES_tradnl"/>
        </w:rPr>
        <w:t xml:space="preserve">R. </w:t>
      </w:r>
      <w:r w:rsidRPr="009863F2">
        <w:rPr>
          <w:rFonts w:ascii="Calibri Light" w:hAnsi="Calibri Light" w:cs="Arial"/>
          <w:sz w:val="24"/>
          <w:szCs w:val="24"/>
          <w:lang w:val="es-ES_tradnl"/>
        </w:rPr>
        <w:t xml:space="preserve">y </w:t>
      </w:r>
      <w:r w:rsidR="00680AC7" w:rsidRPr="009863F2">
        <w:rPr>
          <w:rFonts w:ascii="Calibri Light" w:hAnsi="Calibri Light" w:cs="Arial"/>
          <w:sz w:val="24"/>
          <w:szCs w:val="24"/>
          <w:lang w:val="es-ES_tradnl"/>
        </w:rPr>
        <w:t xml:space="preserve">E. </w:t>
      </w:r>
      <w:r w:rsidRPr="009863F2">
        <w:rPr>
          <w:rFonts w:ascii="Calibri Light" w:hAnsi="Calibri Light" w:cs="Arial"/>
          <w:sz w:val="24"/>
          <w:szCs w:val="24"/>
          <w:lang w:val="es-ES_tradnl"/>
        </w:rPr>
        <w:t xml:space="preserve">Demaestri. 2013. </w:t>
      </w:r>
      <w:r w:rsidRPr="009863F2">
        <w:rPr>
          <w:rFonts w:ascii="Calibri Light" w:hAnsi="Calibri Light" w:cs="Arial"/>
          <w:i/>
          <w:sz w:val="24"/>
          <w:szCs w:val="24"/>
          <w:lang w:val="es-ES_tradnl"/>
        </w:rPr>
        <w:t>Opciones de política para el financiamiento de vivienda en América Latina y el Caribe</w:t>
      </w:r>
      <w:r w:rsidRPr="009863F2">
        <w:rPr>
          <w:rFonts w:ascii="Calibri Light" w:hAnsi="Calibri Light" w:cs="Arial"/>
          <w:sz w:val="24"/>
          <w:szCs w:val="24"/>
          <w:lang w:val="es-ES_tradnl"/>
        </w:rPr>
        <w:t xml:space="preserve">. Washington, D.C.: </w:t>
      </w:r>
      <w:r w:rsidR="00680AC7" w:rsidRPr="009863F2">
        <w:rPr>
          <w:rFonts w:ascii="Calibri Light" w:hAnsi="Calibri Light" w:cs="Arial"/>
          <w:sz w:val="24"/>
          <w:szCs w:val="24"/>
          <w:lang w:val="es-ES_tradnl"/>
        </w:rPr>
        <w:t>BID</w:t>
      </w:r>
      <w:r w:rsidRPr="009863F2">
        <w:rPr>
          <w:rFonts w:ascii="Calibri Light" w:hAnsi="Calibri Light" w:cs="Arial"/>
          <w:sz w:val="24"/>
          <w:szCs w:val="24"/>
          <w:lang w:val="es-ES_tradnl"/>
        </w:rPr>
        <w:t>.</w:t>
      </w:r>
    </w:p>
    <w:p w14:paraId="62AB8576"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5D1AEF53" w14:textId="2D745347" w:rsidR="00680AC7" w:rsidRPr="00AA11EC" w:rsidRDefault="00680AC7" w:rsidP="009863F2">
      <w:pPr>
        <w:spacing w:after="0" w:line="240" w:lineRule="auto"/>
        <w:ind w:left="720" w:hanging="720"/>
        <w:jc w:val="both"/>
        <w:rPr>
          <w:rFonts w:ascii="Calibri Light" w:hAnsi="Calibri Light" w:cs="Arial"/>
          <w:sz w:val="24"/>
          <w:szCs w:val="24"/>
        </w:rPr>
      </w:pPr>
      <w:r w:rsidRPr="009863F2">
        <w:rPr>
          <w:rFonts w:ascii="Calibri Light" w:hAnsi="Calibri Light" w:cs="Arial"/>
          <w:sz w:val="24"/>
          <w:szCs w:val="24"/>
          <w:lang w:val="es-ES_tradnl"/>
        </w:rPr>
        <w:t xml:space="preserve">Boston University. 2015. </w:t>
      </w:r>
      <w:r w:rsidRPr="009863F2">
        <w:rPr>
          <w:rFonts w:ascii="Calibri Light" w:hAnsi="Calibri Light" w:cs="Arial"/>
          <w:i/>
          <w:sz w:val="24"/>
          <w:szCs w:val="24"/>
          <w:lang w:val="es-ES_tradnl"/>
        </w:rPr>
        <w:t>Financiamiento verde en las Américas</w:t>
      </w:r>
      <w:r w:rsidRPr="009863F2">
        <w:rPr>
          <w:rFonts w:ascii="Calibri Light" w:hAnsi="Calibri Light" w:cs="Arial"/>
          <w:sz w:val="24"/>
          <w:szCs w:val="24"/>
          <w:lang w:val="es-ES_tradnl"/>
        </w:rPr>
        <w:t xml:space="preserve">. </w:t>
      </w:r>
      <w:r w:rsidRPr="00AA11EC">
        <w:rPr>
          <w:rFonts w:ascii="Calibri Light" w:hAnsi="Calibri Light" w:cs="Arial"/>
          <w:sz w:val="24"/>
          <w:szCs w:val="24"/>
        </w:rPr>
        <w:t>Boston: Boston University.</w:t>
      </w:r>
    </w:p>
    <w:p w14:paraId="440D861B" w14:textId="77777777" w:rsidR="00720634" w:rsidRPr="00AA11EC" w:rsidRDefault="00720634" w:rsidP="009863F2">
      <w:pPr>
        <w:spacing w:after="0" w:line="240" w:lineRule="auto"/>
        <w:ind w:left="720" w:hanging="720"/>
        <w:jc w:val="both"/>
        <w:rPr>
          <w:rFonts w:ascii="Calibri Light" w:hAnsi="Calibri Light" w:cs="Arial"/>
          <w:sz w:val="24"/>
          <w:szCs w:val="24"/>
        </w:rPr>
      </w:pPr>
    </w:p>
    <w:p w14:paraId="69342E4D" w14:textId="7BA35555" w:rsidR="00BC6E70" w:rsidRPr="009863F2" w:rsidRDefault="00BC6E70" w:rsidP="009863F2">
      <w:pPr>
        <w:spacing w:after="0" w:line="240" w:lineRule="auto"/>
        <w:ind w:left="720" w:hanging="720"/>
        <w:jc w:val="both"/>
        <w:rPr>
          <w:rFonts w:ascii="Calibri Light" w:hAnsi="Calibri Light" w:cs="Arial"/>
          <w:sz w:val="24"/>
          <w:szCs w:val="24"/>
          <w:lang w:val="es-ES_tradnl"/>
        </w:rPr>
      </w:pPr>
      <w:r w:rsidRPr="00AA11EC">
        <w:rPr>
          <w:rFonts w:ascii="Calibri Light" w:hAnsi="Calibri Light" w:cs="Arial"/>
          <w:sz w:val="24"/>
          <w:szCs w:val="24"/>
        </w:rPr>
        <w:t xml:space="preserve">Bouillon, </w:t>
      </w:r>
      <w:r w:rsidR="00680AC7" w:rsidRPr="00AA11EC">
        <w:rPr>
          <w:rFonts w:ascii="Calibri Light" w:hAnsi="Calibri Light" w:cs="Arial"/>
          <w:sz w:val="24"/>
          <w:szCs w:val="24"/>
        </w:rPr>
        <w:t xml:space="preserve">C. </w:t>
      </w:r>
      <w:r w:rsidRPr="00AA11EC">
        <w:rPr>
          <w:rFonts w:ascii="Calibri Light" w:hAnsi="Calibri Light" w:cs="Arial"/>
          <w:sz w:val="24"/>
          <w:szCs w:val="24"/>
        </w:rPr>
        <w:t xml:space="preserve">(ed.). </w:t>
      </w:r>
      <w:r w:rsidRPr="009863F2">
        <w:rPr>
          <w:rFonts w:ascii="Calibri Light" w:hAnsi="Calibri Light" w:cs="Arial"/>
          <w:sz w:val="24"/>
          <w:szCs w:val="24"/>
          <w:lang w:val="es-ES_tradnl"/>
        </w:rPr>
        <w:t xml:space="preserve">2012. </w:t>
      </w:r>
      <w:r w:rsidRPr="009863F2">
        <w:rPr>
          <w:rFonts w:ascii="Calibri Light" w:hAnsi="Calibri Light" w:cs="Arial"/>
          <w:i/>
          <w:sz w:val="24"/>
          <w:szCs w:val="24"/>
          <w:lang w:val="es-ES_tradnl"/>
        </w:rPr>
        <w:t>Un espacio para el desarrollo</w:t>
      </w:r>
      <w:r w:rsidRPr="009863F2">
        <w:rPr>
          <w:rFonts w:ascii="Calibri Light" w:hAnsi="Calibri Light" w:cs="Arial"/>
          <w:sz w:val="24"/>
          <w:szCs w:val="24"/>
          <w:lang w:val="es-ES_tradnl"/>
        </w:rPr>
        <w:t xml:space="preserve">. Washington, D.C.: </w:t>
      </w:r>
      <w:r w:rsidR="00680AC7" w:rsidRPr="009863F2">
        <w:rPr>
          <w:rFonts w:ascii="Calibri Light" w:hAnsi="Calibri Light" w:cs="Arial"/>
          <w:sz w:val="24"/>
          <w:szCs w:val="24"/>
          <w:lang w:val="es-ES_tradnl"/>
        </w:rPr>
        <w:t>BID</w:t>
      </w:r>
      <w:r w:rsidRPr="009863F2">
        <w:rPr>
          <w:rFonts w:ascii="Calibri Light" w:hAnsi="Calibri Light" w:cs="Arial"/>
          <w:sz w:val="24"/>
          <w:szCs w:val="24"/>
          <w:lang w:val="es-ES_tradnl"/>
        </w:rPr>
        <w:t>.</w:t>
      </w:r>
    </w:p>
    <w:p w14:paraId="77BF5F8A"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11E126DA" w14:textId="6A70782E" w:rsidR="00601D28" w:rsidRPr="009863F2" w:rsidRDefault="00601D28" w:rsidP="009863F2">
      <w:pPr>
        <w:spacing w:after="0" w:line="240" w:lineRule="auto"/>
        <w:ind w:left="720" w:hanging="720"/>
        <w:jc w:val="both"/>
        <w:rPr>
          <w:rFonts w:ascii="Calibri Light" w:hAnsi="Calibri Light" w:cs="Arial"/>
          <w:sz w:val="24"/>
          <w:szCs w:val="24"/>
        </w:rPr>
      </w:pPr>
      <w:r w:rsidRPr="009863F2">
        <w:rPr>
          <w:rFonts w:ascii="Calibri Light" w:hAnsi="Calibri Light" w:cs="Arial"/>
          <w:sz w:val="24"/>
          <w:szCs w:val="24"/>
          <w:lang w:val="es-ES_tradnl"/>
        </w:rPr>
        <w:t xml:space="preserve">De Olloqui, </w:t>
      </w:r>
      <w:r w:rsidR="00680AC7" w:rsidRPr="009863F2">
        <w:rPr>
          <w:rFonts w:ascii="Calibri Light" w:hAnsi="Calibri Light" w:cs="Arial"/>
          <w:sz w:val="24"/>
          <w:szCs w:val="24"/>
          <w:lang w:val="es-ES_tradnl"/>
        </w:rPr>
        <w:t>F.</w:t>
      </w:r>
      <w:r w:rsidRPr="009863F2">
        <w:rPr>
          <w:rFonts w:ascii="Calibri Light" w:hAnsi="Calibri Light" w:cs="Arial"/>
          <w:sz w:val="24"/>
          <w:szCs w:val="24"/>
          <w:lang w:val="es-ES_tradnl"/>
        </w:rPr>
        <w:t>, G</w:t>
      </w:r>
      <w:r w:rsidR="00680AC7"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Andrade y D</w:t>
      </w:r>
      <w:r w:rsidR="00680AC7"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Herrera. 2015. </w:t>
      </w:r>
      <w:r w:rsidRPr="009863F2">
        <w:rPr>
          <w:rFonts w:ascii="Calibri Light" w:hAnsi="Calibri Light" w:cs="Arial"/>
          <w:i/>
          <w:sz w:val="24"/>
          <w:szCs w:val="24"/>
          <w:lang w:val="es-ES_tradnl"/>
        </w:rPr>
        <w:t xml:space="preserve">Inclusión financiera en América Latina y el Caribe: </w:t>
      </w:r>
      <w:r w:rsidR="00680AC7" w:rsidRPr="009863F2">
        <w:rPr>
          <w:rFonts w:ascii="Calibri Light" w:hAnsi="Calibri Light" w:cs="Arial"/>
          <w:i/>
          <w:sz w:val="24"/>
          <w:szCs w:val="24"/>
          <w:lang w:val="es-ES_tradnl"/>
        </w:rPr>
        <w:t>c</w:t>
      </w:r>
      <w:r w:rsidRPr="009863F2">
        <w:rPr>
          <w:rFonts w:ascii="Calibri Light" w:hAnsi="Calibri Light" w:cs="Arial"/>
          <w:i/>
          <w:sz w:val="24"/>
          <w:szCs w:val="24"/>
          <w:lang w:val="es-ES_tradnl"/>
        </w:rPr>
        <w:t>oyuntura actual y desafíos para los próximos años</w:t>
      </w:r>
      <w:r w:rsidRPr="009863F2">
        <w:rPr>
          <w:rFonts w:ascii="Calibri Light" w:hAnsi="Calibri Light" w:cs="Arial"/>
          <w:sz w:val="24"/>
          <w:szCs w:val="24"/>
          <w:lang w:val="es-ES_tradnl"/>
        </w:rPr>
        <w:t xml:space="preserve">. </w:t>
      </w:r>
      <w:r w:rsidRPr="009863F2">
        <w:rPr>
          <w:rFonts w:ascii="Calibri Light" w:hAnsi="Calibri Light" w:cs="Arial"/>
          <w:sz w:val="24"/>
          <w:szCs w:val="24"/>
        </w:rPr>
        <w:t xml:space="preserve">Washington, D.C.: </w:t>
      </w:r>
      <w:r w:rsidR="00680AC7" w:rsidRPr="009863F2">
        <w:rPr>
          <w:rFonts w:ascii="Calibri Light" w:hAnsi="Calibri Light" w:cs="Arial"/>
          <w:sz w:val="24"/>
          <w:szCs w:val="24"/>
        </w:rPr>
        <w:t>BID</w:t>
      </w:r>
      <w:r w:rsidRPr="009863F2">
        <w:rPr>
          <w:rFonts w:ascii="Calibri Light" w:hAnsi="Calibri Light" w:cs="Arial"/>
          <w:sz w:val="24"/>
          <w:szCs w:val="24"/>
        </w:rPr>
        <w:t>.</w:t>
      </w:r>
    </w:p>
    <w:p w14:paraId="42885989" w14:textId="77777777" w:rsidR="00720634" w:rsidRDefault="00720634" w:rsidP="009863F2">
      <w:pPr>
        <w:spacing w:after="0" w:line="240" w:lineRule="auto"/>
        <w:ind w:left="720" w:hanging="720"/>
        <w:jc w:val="both"/>
        <w:rPr>
          <w:rFonts w:ascii="Calibri Light" w:hAnsi="Calibri Light" w:cs="Arial"/>
          <w:sz w:val="24"/>
          <w:szCs w:val="24"/>
        </w:rPr>
      </w:pPr>
    </w:p>
    <w:p w14:paraId="059C3BBC" w14:textId="08C6827B" w:rsidR="00D35DEA" w:rsidRPr="009863F2" w:rsidRDefault="00D35DEA"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rPr>
        <w:t xml:space="preserve">Herrera, </w:t>
      </w:r>
      <w:r w:rsidR="00680AC7" w:rsidRPr="009863F2">
        <w:rPr>
          <w:rFonts w:ascii="Calibri Light" w:hAnsi="Calibri Light" w:cs="Arial"/>
          <w:sz w:val="24"/>
          <w:szCs w:val="24"/>
        </w:rPr>
        <w:t>D</w:t>
      </w:r>
      <w:r w:rsidRPr="009863F2">
        <w:rPr>
          <w:rFonts w:ascii="Calibri Light" w:hAnsi="Calibri Light" w:cs="Arial"/>
          <w:sz w:val="24"/>
          <w:szCs w:val="24"/>
        </w:rPr>
        <w:t xml:space="preserve">. 2016. </w:t>
      </w:r>
      <w:r w:rsidRPr="009863F2">
        <w:rPr>
          <w:rFonts w:ascii="Calibri Light" w:hAnsi="Calibri Light" w:cs="Arial"/>
          <w:i/>
          <w:sz w:val="24"/>
          <w:szCs w:val="24"/>
        </w:rPr>
        <w:t>Alternative Finance (Crowdfunding) Regulation in Latin America and the Caribbean: A Balancing Act</w:t>
      </w:r>
      <w:r w:rsidRPr="009863F2">
        <w:rPr>
          <w:rFonts w:ascii="Calibri Light" w:hAnsi="Calibri Light" w:cs="Arial"/>
          <w:sz w:val="24"/>
          <w:szCs w:val="24"/>
        </w:rPr>
        <w:t xml:space="preserve">. </w:t>
      </w:r>
      <w:r w:rsidRPr="009863F2">
        <w:rPr>
          <w:rFonts w:ascii="Calibri Light" w:hAnsi="Calibri Light" w:cs="Arial"/>
          <w:sz w:val="24"/>
          <w:szCs w:val="24"/>
          <w:lang w:val="es-ES_tradnl"/>
        </w:rPr>
        <w:t xml:space="preserve">Washington, D.C.: </w:t>
      </w:r>
      <w:r w:rsidR="00680AC7" w:rsidRPr="009863F2">
        <w:rPr>
          <w:rFonts w:ascii="Calibri Light" w:hAnsi="Calibri Light" w:cs="Arial"/>
          <w:sz w:val="24"/>
          <w:szCs w:val="24"/>
          <w:lang w:val="es-ES_tradnl"/>
        </w:rPr>
        <w:t>BID</w:t>
      </w:r>
      <w:r w:rsidRPr="009863F2">
        <w:rPr>
          <w:rFonts w:ascii="Calibri Light" w:hAnsi="Calibri Light" w:cs="Arial"/>
          <w:sz w:val="24"/>
          <w:szCs w:val="24"/>
          <w:lang w:val="es-ES_tradnl"/>
        </w:rPr>
        <w:t>.</w:t>
      </w:r>
    </w:p>
    <w:p w14:paraId="110FCD2F"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55AC5A29" w14:textId="08968242" w:rsidR="00BC6E70" w:rsidRPr="009863F2" w:rsidRDefault="00BC6E70" w:rsidP="009863F2">
      <w:pPr>
        <w:spacing w:after="0" w:line="240" w:lineRule="auto"/>
        <w:ind w:left="720" w:hanging="720"/>
        <w:jc w:val="both"/>
        <w:rPr>
          <w:rFonts w:ascii="Calibri Light" w:hAnsi="Calibri Light" w:cs="Arial"/>
          <w:i/>
          <w:sz w:val="24"/>
          <w:szCs w:val="24"/>
          <w:lang w:val="es-ES_tradnl"/>
        </w:rPr>
      </w:pPr>
      <w:r w:rsidRPr="009863F2">
        <w:rPr>
          <w:rFonts w:ascii="Calibri Light" w:hAnsi="Calibri Light" w:cs="Arial"/>
          <w:sz w:val="24"/>
          <w:szCs w:val="24"/>
          <w:lang w:val="es-ES_tradnl"/>
        </w:rPr>
        <w:t xml:space="preserve">Martin, </w:t>
      </w:r>
      <w:r w:rsidR="00680AC7" w:rsidRPr="009863F2">
        <w:rPr>
          <w:rFonts w:ascii="Calibri Light" w:hAnsi="Calibri Light" w:cs="Arial"/>
          <w:sz w:val="24"/>
          <w:szCs w:val="24"/>
          <w:lang w:val="es-ES_tradnl"/>
        </w:rPr>
        <w:t>C.</w:t>
      </w:r>
      <w:r w:rsidR="00BE0D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G</w:t>
      </w:r>
      <w:r w:rsidR="00BE0D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Campillo</w:t>
      </w:r>
      <w:r w:rsidR="00BE0D4B" w:rsidRPr="009863F2">
        <w:rPr>
          <w:rFonts w:ascii="Calibri Light" w:hAnsi="Calibri Light" w:cs="Arial"/>
          <w:sz w:val="24"/>
          <w:szCs w:val="24"/>
          <w:lang w:val="es-ES_tradnl"/>
        </w:rPr>
        <w:t>, H.</w:t>
      </w:r>
      <w:r w:rsidRPr="009863F2">
        <w:rPr>
          <w:rFonts w:ascii="Calibri Light" w:hAnsi="Calibri Light" w:cs="Arial"/>
          <w:sz w:val="24"/>
          <w:szCs w:val="24"/>
          <w:lang w:val="es-ES_tradnl"/>
        </w:rPr>
        <w:t xml:space="preserve"> Meirovich y </w:t>
      </w:r>
      <w:r w:rsidR="00BE0D4B" w:rsidRPr="009863F2">
        <w:rPr>
          <w:rFonts w:ascii="Calibri Light" w:hAnsi="Calibri Light" w:cs="Arial"/>
          <w:sz w:val="24"/>
          <w:szCs w:val="24"/>
          <w:lang w:val="es-ES_tradnl"/>
        </w:rPr>
        <w:t xml:space="preserve">J. </w:t>
      </w:r>
      <w:r w:rsidRPr="009863F2">
        <w:rPr>
          <w:rFonts w:ascii="Calibri Light" w:hAnsi="Calibri Light" w:cs="Arial"/>
          <w:sz w:val="24"/>
          <w:szCs w:val="24"/>
          <w:lang w:val="es-ES_tradnl"/>
        </w:rPr>
        <w:t xml:space="preserve">Navarrete. 2013. </w:t>
      </w:r>
      <w:r w:rsidRPr="009863F2">
        <w:rPr>
          <w:rFonts w:ascii="Calibri Light" w:hAnsi="Calibri Light" w:cs="Arial"/>
          <w:i/>
          <w:sz w:val="24"/>
          <w:szCs w:val="24"/>
          <w:lang w:val="es-ES_tradnl"/>
        </w:rPr>
        <w:t>Mitigación y adaptación al cambio climático a través de la vivienda pública</w:t>
      </w:r>
      <w:r w:rsidR="00BE0D4B" w:rsidRPr="009863F2">
        <w:rPr>
          <w:rFonts w:ascii="Calibri Light" w:hAnsi="Calibri Light" w:cs="Arial"/>
          <w:i/>
          <w:sz w:val="24"/>
          <w:szCs w:val="24"/>
          <w:lang w:val="es-ES_tradnl"/>
        </w:rPr>
        <w:t>.</w:t>
      </w:r>
      <w:r w:rsidRPr="009863F2">
        <w:rPr>
          <w:rFonts w:ascii="Calibri Light" w:hAnsi="Calibri Light" w:cs="Arial"/>
          <w:i/>
          <w:sz w:val="24"/>
          <w:szCs w:val="24"/>
          <w:lang w:val="es-ES_tradnl"/>
        </w:rPr>
        <w:t xml:space="preserve"> Marco teórico para el Diálogo Regional de Políticas sobre Cambio Climático del BID. </w:t>
      </w:r>
      <w:r w:rsidRPr="009863F2">
        <w:rPr>
          <w:rFonts w:ascii="Calibri Light" w:hAnsi="Calibri Light" w:cs="Arial"/>
          <w:sz w:val="24"/>
          <w:szCs w:val="24"/>
          <w:lang w:val="es-ES_tradnl"/>
        </w:rPr>
        <w:t xml:space="preserve">Washington, D.C.: </w:t>
      </w:r>
      <w:r w:rsidR="00BE0D4B" w:rsidRPr="009863F2">
        <w:rPr>
          <w:rFonts w:ascii="Calibri Light" w:hAnsi="Calibri Light" w:cs="Arial"/>
          <w:sz w:val="24"/>
          <w:szCs w:val="24"/>
          <w:lang w:val="es-ES_tradnl"/>
        </w:rPr>
        <w:t>BID</w:t>
      </w:r>
      <w:r w:rsidRPr="009863F2">
        <w:rPr>
          <w:rFonts w:ascii="Calibri Light" w:hAnsi="Calibri Light" w:cs="Arial"/>
          <w:sz w:val="24"/>
          <w:szCs w:val="24"/>
          <w:lang w:val="es-ES_tradnl"/>
        </w:rPr>
        <w:t>.</w:t>
      </w:r>
    </w:p>
    <w:p w14:paraId="2213BCD7"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7AA6B9D3" w14:textId="673CC9B9" w:rsidR="00680AC7" w:rsidRPr="009863F2" w:rsidRDefault="00680AC7"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Narain, S. 2010. </w:t>
      </w:r>
      <w:r w:rsidRPr="00720634">
        <w:rPr>
          <w:rFonts w:ascii="Calibri Light" w:hAnsi="Calibri Light" w:cs="Arial"/>
          <w:i/>
          <w:sz w:val="24"/>
          <w:szCs w:val="24"/>
          <w:lang w:val="es-ES_tradnl"/>
        </w:rPr>
        <w:t>Género y Acceso al financiamiento.</w:t>
      </w:r>
      <w:r w:rsidRPr="009863F2">
        <w:rPr>
          <w:rFonts w:ascii="Calibri Light" w:hAnsi="Calibri Light" w:cs="Arial"/>
          <w:sz w:val="24"/>
          <w:szCs w:val="24"/>
          <w:lang w:val="es-ES_tradnl"/>
        </w:rPr>
        <w:t xml:space="preserve"> Washington, D.C.: Banco Mundial.</w:t>
      </w:r>
    </w:p>
    <w:p w14:paraId="5768AFD4"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6971D9F1" w14:textId="06FA9D14" w:rsidR="00680AC7" w:rsidRPr="009863F2" w:rsidRDefault="00680AC7"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OIT (Organización Internacional del Trabajo). 2016. </w:t>
      </w:r>
      <w:r w:rsidRPr="009863F2">
        <w:rPr>
          <w:rFonts w:ascii="Calibri Light" w:hAnsi="Calibri Light" w:cs="Arial"/>
          <w:i/>
          <w:sz w:val="24"/>
          <w:szCs w:val="24"/>
          <w:lang w:val="es-ES_tradnl"/>
        </w:rPr>
        <w:t>Panorama Laboral 2016.</w:t>
      </w:r>
      <w:r w:rsidRPr="009863F2">
        <w:rPr>
          <w:rFonts w:ascii="Calibri Light" w:hAnsi="Calibri Light" w:cs="Arial"/>
          <w:sz w:val="24"/>
          <w:szCs w:val="24"/>
          <w:lang w:val="es-ES_tradnl"/>
        </w:rPr>
        <w:t xml:space="preserve"> Lima: OIT, Oficina Regional para América Latina y el Caribe.</w:t>
      </w:r>
    </w:p>
    <w:p w14:paraId="019495D5"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500BBFF1" w14:textId="65F4F62A" w:rsidR="00BC6E70" w:rsidRPr="009863F2" w:rsidRDefault="00BC6E70"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Vera, </w:t>
      </w:r>
      <w:r w:rsidR="00BE0D4B" w:rsidRPr="009863F2">
        <w:rPr>
          <w:rFonts w:ascii="Calibri Light" w:hAnsi="Calibri Light" w:cs="Arial"/>
          <w:sz w:val="24"/>
          <w:szCs w:val="24"/>
          <w:lang w:val="es-ES_tradnl"/>
        </w:rPr>
        <w:t xml:space="preserve">C. </w:t>
      </w:r>
      <w:r w:rsidRPr="009863F2">
        <w:rPr>
          <w:rFonts w:ascii="Calibri Light" w:hAnsi="Calibri Light" w:cs="Arial"/>
          <w:sz w:val="24"/>
          <w:szCs w:val="24"/>
          <w:lang w:val="es-ES_tradnl"/>
        </w:rPr>
        <w:t xml:space="preserve">y </w:t>
      </w:r>
      <w:r w:rsidR="00BE0D4B" w:rsidRPr="009863F2">
        <w:rPr>
          <w:rFonts w:ascii="Calibri Light" w:hAnsi="Calibri Light" w:cs="Arial"/>
          <w:sz w:val="24"/>
          <w:szCs w:val="24"/>
          <w:lang w:val="es-ES_tradnl"/>
        </w:rPr>
        <w:t xml:space="preserve">D. </w:t>
      </w:r>
      <w:r w:rsidRPr="009863F2">
        <w:rPr>
          <w:rFonts w:ascii="Calibri Light" w:hAnsi="Calibri Light" w:cs="Arial"/>
          <w:sz w:val="24"/>
          <w:szCs w:val="24"/>
          <w:lang w:val="es-ES_tradnl"/>
        </w:rPr>
        <w:t xml:space="preserve">Titelman. 2013. </w:t>
      </w:r>
      <w:r w:rsidRPr="009863F2">
        <w:rPr>
          <w:rFonts w:ascii="Calibri Light" w:hAnsi="Calibri Light" w:cs="Arial"/>
          <w:i/>
          <w:sz w:val="24"/>
          <w:szCs w:val="24"/>
          <w:lang w:val="es-ES_tradnl"/>
        </w:rPr>
        <w:t>El sistema financiero en América Latina y el Caribe: Una caracterización.</w:t>
      </w:r>
      <w:r w:rsidRPr="009863F2">
        <w:rPr>
          <w:rFonts w:ascii="Calibri Light" w:hAnsi="Calibri Light" w:cs="Arial"/>
          <w:sz w:val="24"/>
          <w:szCs w:val="24"/>
          <w:lang w:val="es-ES_tradnl"/>
        </w:rPr>
        <w:t xml:space="preserve"> Santiago de Chile: Comisión Económica para América Latina y el Caribe</w:t>
      </w:r>
      <w:r w:rsidR="00BE0D4B" w:rsidRPr="009863F2">
        <w:rPr>
          <w:rFonts w:ascii="Calibri Light" w:hAnsi="Calibri Light" w:cs="Arial"/>
          <w:sz w:val="24"/>
          <w:szCs w:val="24"/>
          <w:lang w:val="es-ES_tradnl"/>
        </w:rPr>
        <w:t xml:space="preserve"> (CEPAL)</w:t>
      </w:r>
      <w:r w:rsidRPr="009863F2">
        <w:rPr>
          <w:rFonts w:ascii="Calibri Light" w:hAnsi="Calibri Light" w:cs="Arial"/>
          <w:sz w:val="24"/>
          <w:szCs w:val="24"/>
          <w:lang w:val="es-ES_tradnl"/>
        </w:rPr>
        <w:t>.</w:t>
      </w:r>
    </w:p>
    <w:p w14:paraId="53BA55F1" w14:textId="77777777" w:rsidR="00720634" w:rsidRDefault="00720634" w:rsidP="009863F2">
      <w:pPr>
        <w:spacing w:after="0" w:line="240" w:lineRule="auto"/>
        <w:ind w:left="720" w:hanging="720"/>
        <w:jc w:val="both"/>
        <w:rPr>
          <w:rFonts w:ascii="Calibri Light" w:hAnsi="Calibri Light" w:cs="Arial"/>
          <w:sz w:val="24"/>
          <w:szCs w:val="24"/>
          <w:lang w:val="es-ES_tradnl"/>
        </w:rPr>
      </w:pPr>
    </w:p>
    <w:p w14:paraId="6DCF73B7" w14:textId="69574336" w:rsidR="00D731D6" w:rsidRPr="009863F2" w:rsidRDefault="00BC6E70" w:rsidP="009863F2">
      <w:pPr>
        <w:spacing w:after="0" w:line="240" w:lineRule="auto"/>
        <w:ind w:left="720" w:hanging="720"/>
        <w:jc w:val="both"/>
        <w:rPr>
          <w:rFonts w:ascii="Calibri Light" w:hAnsi="Calibri Light" w:cs="Arial"/>
          <w:sz w:val="24"/>
          <w:szCs w:val="24"/>
          <w:lang w:val="es-ES_tradnl"/>
        </w:rPr>
      </w:pPr>
      <w:r w:rsidRPr="009863F2">
        <w:rPr>
          <w:rFonts w:ascii="Calibri Light" w:hAnsi="Calibri Light" w:cs="Arial"/>
          <w:sz w:val="24"/>
          <w:szCs w:val="24"/>
          <w:lang w:val="es-ES_tradnl"/>
        </w:rPr>
        <w:t xml:space="preserve">Vera, </w:t>
      </w:r>
      <w:r w:rsidR="00BE0D4B" w:rsidRPr="009863F2">
        <w:rPr>
          <w:rFonts w:ascii="Calibri Light" w:hAnsi="Calibri Light" w:cs="Arial"/>
          <w:sz w:val="24"/>
          <w:szCs w:val="24"/>
          <w:lang w:val="es-ES_tradnl"/>
        </w:rPr>
        <w:t xml:space="preserve">C. </w:t>
      </w:r>
      <w:r w:rsidRPr="009863F2">
        <w:rPr>
          <w:rFonts w:ascii="Calibri Light" w:hAnsi="Calibri Light" w:cs="Arial"/>
          <w:sz w:val="24"/>
          <w:szCs w:val="24"/>
          <w:lang w:val="es-ES_tradnl"/>
        </w:rPr>
        <w:t>y E</w:t>
      </w:r>
      <w:r w:rsidR="00BE0D4B" w:rsidRPr="009863F2">
        <w:rPr>
          <w:rFonts w:ascii="Calibri Light" w:hAnsi="Calibri Light" w:cs="Arial"/>
          <w:sz w:val="24"/>
          <w:szCs w:val="24"/>
          <w:lang w:val="es-ES_tradnl"/>
        </w:rPr>
        <w:t>.</w:t>
      </w:r>
      <w:r w:rsidRPr="009863F2">
        <w:rPr>
          <w:rFonts w:ascii="Calibri Light" w:hAnsi="Calibri Light" w:cs="Arial"/>
          <w:sz w:val="24"/>
          <w:szCs w:val="24"/>
          <w:lang w:val="es-ES_tradnl"/>
        </w:rPr>
        <w:t xml:space="preserve"> Pérez-Caldentey. 2015. </w:t>
      </w:r>
      <w:r w:rsidRPr="009863F2">
        <w:rPr>
          <w:rFonts w:ascii="Calibri Light" w:hAnsi="Calibri Light" w:cs="Arial"/>
          <w:i/>
          <w:sz w:val="24"/>
          <w:szCs w:val="24"/>
          <w:lang w:val="es-ES_tradnl"/>
        </w:rPr>
        <w:t>El Financiamiento para el desarrollo de América Latina y el Caribe.</w:t>
      </w:r>
      <w:r w:rsidRPr="009863F2">
        <w:rPr>
          <w:rFonts w:ascii="Calibri Light" w:hAnsi="Calibri Light" w:cs="Arial"/>
          <w:sz w:val="24"/>
          <w:szCs w:val="24"/>
          <w:lang w:val="es-ES_tradnl"/>
        </w:rPr>
        <w:t xml:space="preserve"> Santiago de Chile: </w:t>
      </w:r>
      <w:r w:rsidR="00BE0D4B" w:rsidRPr="009863F2">
        <w:rPr>
          <w:rFonts w:ascii="Calibri Light" w:hAnsi="Calibri Light" w:cs="Arial"/>
          <w:sz w:val="24"/>
          <w:szCs w:val="24"/>
          <w:lang w:val="es-ES_tradnl"/>
        </w:rPr>
        <w:t>CEPAL</w:t>
      </w:r>
      <w:r w:rsidR="0098001C" w:rsidRPr="009863F2">
        <w:rPr>
          <w:rFonts w:ascii="Calibri Light" w:hAnsi="Calibri Light" w:cs="Arial"/>
          <w:sz w:val="24"/>
          <w:szCs w:val="24"/>
          <w:lang w:val="es-ES_tradnl"/>
        </w:rPr>
        <w:t>.</w:t>
      </w:r>
    </w:p>
    <w:sectPr w:rsidR="00D731D6" w:rsidRPr="009863F2" w:rsidSect="000D5D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3204" w14:textId="77777777" w:rsidR="00674810" w:rsidRDefault="00674810" w:rsidP="00BD486A">
      <w:pPr>
        <w:spacing w:after="0" w:line="240" w:lineRule="auto"/>
      </w:pPr>
      <w:r>
        <w:separator/>
      </w:r>
    </w:p>
  </w:endnote>
  <w:endnote w:type="continuationSeparator" w:id="0">
    <w:p w14:paraId="10B57526" w14:textId="77777777" w:rsidR="00674810" w:rsidRDefault="00674810" w:rsidP="00BD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otham Light">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2020" w14:textId="77777777" w:rsidR="002D2FB2" w:rsidRDefault="002D2FB2" w:rsidP="001E76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7F02A" w14:textId="77777777" w:rsidR="002D2FB2" w:rsidRDefault="002D2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5680" w14:textId="294AF79D" w:rsidR="002D2FB2" w:rsidRDefault="002D2FB2" w:rsidP="001E76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DCF">
      <w:rPr>
        <w:rStyle w:val="PageNumber"/>
        <w:noProof/>
      </w:rPr>
      <w:t>2</w:t>
    </w:r>
    <w:r>
      <w:rPr>
        <w:rStyle w:val="PageNumber"/>
      </w:rPr>
      <w:fldChar w:fldCharType="end"/>
    </w:r>
  </w:p>
  <w:sdt>
    <w:sdtPr>
      <w:id w:val="-1970507749"/>
      <w:docPartObj>
        <w:docPartGallery w:val="Page Numbers (Bottom of Page)"/>
        <w:docPartUnique/>
      </w:docPartObj>
    </w:sdtPr>
    <w:sdtEndPr/>
    <w:sdtContent>
      <w:p w14:paraId="68A9570A" w14:textId="66B4B9F2" w:rsidR="002D2FB2" w:rsidRDefault="00674810">
        <w:pPr>
          <w:pStyle w:val="Footer"/>
          <w:jc w:val="center"/>
        </w:pPr>
      </w:p>
    </w:sdtContent>
  </w:sdt>
  <w:p w14:paraId="67E85A1A" w14:textId="77777777" w:rsidR="002D2FB2" w:rsidRPr="00DF6DB7" w:rsidRDefault="002D2FB2" w:rsidP="00BD486A">
    <w:pPr>
      <w:jc w:val="right"/>
      <w:rPr>
        <w:i/>
        <w:color w:val="808080" w:themeColor="background1" w:themeShade="80"/>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5F80" w14:textId="77777777" w:rsidR="00674810" w:rsidRDefault="00674810" w:rsidP="00BD486A">
      <w:pPr>
        <w:spacing w:after="0" w:line="240" w:lineRule="auto"/>
      </w:pPr>
      <w:r>
        <w:separator/>
      </w:r>
    </w:p>
  </w:footnote>
  <w:footnote w:type="continuationSeparator" w:id="0">
    <w:p w14:paraId="323B0239" w14:textId="77777777" w:rsidR="00674810" w:rsidRDefault="00674810" w:rsidP="00BD486A">
      <w:pPr>
        <w:spacing w:after="0" w:line="240" w:lineRule="auto"/>
      </w:pPr>
      <w:r>
        <w:continuationSeparator/>
      </w:r>
    </w:p>
  </w:footnote>
  <w:footnote w:id="1">
    <w:p w14:paraId="7C10AB10" w14:textId="12519079" w:rsidR="002D2FB2" w:rsidRPr="00CF43E1" w:rsidRDefault="002D2FB2" w:rsidP="00044C4D">
      <w:pPr>
        <w:pStyle w:val="FootnoteText"/>
        <w:spacing w:after="0"/>
        <w:ind w:left="0" w:firstLine="0"/>
        <w:rPr>
          <w:rFonts w:ascii="Arial" w:hAnsi="Arial" w:cs="Arial"/>
          <w:sz w:val="18"/>
          <w:szCs w:val="18"/>
          <w:lang w:val="es-ES_tradnl"/>
        </w:rPr>
      </w:pPr>
      <w:r w:rsidRPr="00CF43E1">
        <w:rPr>
          <w:rStyle w:val="FootnoteReference"/>
          <w:rFonts w:ascii="Arial" w:hAnsi="Arial" w:cs="Arial"/>
          <w:sz w:val="18"/>
          <w:szCs w:val="18"/>
        </w:rPr>
        <w:footnoteRef/>
      </w:r>
      <w:r w:rsidRPr="00CF43E1">
        <w:rPr>
          <w:rFonts w:ascii="Arial" w:hAnsi="Arial" w:cs="Arial"/>
          <w:sz w:val="18"/>
          <w:szCs w:val="18"/>
          <w:lang w:val="es-ES_tradnl"/>
        </w:rPr>
        <w:t xml:space="preserve"> La evaluación final de cada beneficiario se centra más en su flujo de fondos de libre disponibilidad como medida de las decisiones financieras a adoptar (particularmente en los segmentos más bajos de la pirámide). </w:t>
      </w:r>
      <w:r>
        <w:rPr>
          <w:rFonts w:ascii="Arial" w:hAnsi="Arial" w:cs="Arial"/>
          <w:sz w:val="18"/>
          <w:szCs w:val="18"/>
          <w:lang w:val="es-ES_tradnl"/>
        </w:rPr>
        <w:t>Los m</w:t>
      </w:r>
      <w:r w:rsidRPr="00CF43E1">
        <w:rPr>
          <w:rFonts w:ascii="Arial" w:hAnsi="Arial" w:cs="Arial"/>
          <w:sz w:val="18"/>
          <w:szCs w:val="18"/>
          <w:lang w:val="es-ES_tradnl"/>
        </w:rPr>
        <w:t xml:space="preserve">ercados hipotecarios lo suficientemente profundos y desarrollados minimizan el impacto final de las tasas en estos flujos de fondos </w:t>
      </w:r>
      <w:r>
        <w:rPr>
          <w:rFonts w:ascii="Arial" w:hAnsi="Arial" w:cs="Arial"/>
          <w:sz w:val="18"/>
          <w:szCs w:val="18"/>
          <w:lang w:val="es-ES_tradnl"/>
        </w:rPr>
        <w:t>y posibilitan mayores</w:t>
      </w:r>
      <w:r w:rsidRPr="00CF43E1">
        <w:rPr>
          <w:rFonts w:ascii="Arial" w:hAnsi="Arial" w:cs="Arial"/>
          <w:sz w:val="18"/>
          <w:szCs w:val="18"/>
          <w:lang w:val="es-ES_tradnl"/>
        </w:rPr>
        <w:t xml:space="preserve"> plazos de pago</w:t>
      </w:r>
      <w:r>
        <w:rPr>
          <w:rFonts w:ascii="Arial" w:hAnsi="Arial" w:cs="Arial"/>
          <w:sz w:val="18"/>
          <w:szCs w:val="18"/>
          <w:lang w:val="es-ES_tradnl"/>
        </w:rPr>
        <w:t>,</w:t>
      </w:r>
      <w:r w:rsidRPr="00CF43E1">
        <w:rPr>
          <w:rFonts w:ascii="Arial" w:hAnsi="Arial" w:cs="Arial"/>
          <w:sz w:val="18"/>
          <w:szCs w:val="18"/>
          <w:lang w:val="es-ES_tradnl"/>
        </w:rPr>
        <w:t xml:space="preserve"> manteniendo así un flujo de fondos adecuado.</w:t>
      </w:r>
    </w:p>
  </w:footnote>
  <w:footnote w:id="2">
    <w:p w14:paraId="267F816C" w14:textId="604606EE" w:rsidR="002D2FB2" w:rsidRPr="00CF43E1" w:rsidRDefault="002D2FB2" w:rsidP="00044C4D">
      <w:pPr>
        <w:pStyle w:val="ListParagraph"/>
        <w:spacing w:after="0" w:line="240" w:lineRule="auto"/>
        <w:ind w:left="0"/>
        <w:contextualSpacing w:val="0"/>
        <w:jc w:val="both"/>
        <w:rPr>
          <w:rFonts w:ascii="Arial" w:hAnsi="Arial" w:cs="Arial"/>
          <w:sz w:val="18"/>
          <w:szCs w:val="18"/>
          <w:lang w:val="es-ES"/>
        </w:rPr>
      </w:pPr>
      <w:r w:rsidRPr="00CF43E1">
        <w:rPr>
          <w:rStyle w:val="FootnoteReference"/>
          <w:rFonts w:ascii="Arial" w:hAnsi="Arial" w:cs="Arial"/>
          <w:sz w:val="18"/>
          <w:szCs w:val="18"/>
        </w:rPr>
        <w:footnoteRef/>
      </w:r>
      <w:r w:rsidRPr="00CF43E1">
        <w:rPr>
          <w:rFonts w:ascii="Arial" w:hAnsi="Arial" w:cs="Arial"/>
          <w:sz w:val="18"/>
          <w:szCs w:val="18"/>
          <w:lang w:val="es-ES_tradnl"/>
        </w:rPr>
        <w:t xml:space="preserve"> </w:t>
      </w:r>
      <w:r w:rsidRPr="00CF43E1">
        <w:rPr>
          <w:rFonts w:ascii="Arial" w:hAnsi="Arial" w:cs="Arial"/>
          <w:sz w:val="18"/>
          <w:szCs w:val="18"/>
          <w:lang w:val="es-ES"/>
        </w:rPr>
        <w:t xml:space="preserve">Existe amplia documentación y evidencia empírica sobre el desarrollo de los sistemas financieros y el acceso al financiamiento como un factor clave que determina el déficit habitacional, así como </w:t>
      </w:r>
      <w:r>
        <w:rPr>
          <w:rFonts w:ascii="Arial" w:hAnsi="Arial" w:cs="Arial"/>
          <w:sz w:val="18"/>
          <w:szCs w:val="18"/>
          <w:lang w:val="es-ES"/>
        </w:rPr>
        <w:t xml:space="preserve">también </w:t>
      </w:r>
      <w:r w:rsidRPr="00CF43E1">
        <w:rPr>
          <w:rFonts w:ascii="Arial" w:hAnsi="Arial" w:cs="Arial"/>
          <w:sz w:val="18"/>
          <w:szCs w:val="18"/>
          <w:lang w:val="es-ES"/>
        </w:rPr>
        <w:t xml:space="preserve">sobre los desafíos que enfrenta </w:t>
      </w:r>
      <w:r>
        <w:rPr>
          <w:rFonts w:ascii="Arial" w:hAnsi="Arial" w:cs="Arial"/>
          <w:sz w:val="18"/>
          <w:szCs w:val="18"/>
          <w:lang w:val="es-ES"/>
        </w:rPr>
        <w:t xml:space="preserve">la región </w:t>
      </w:r>
      <w:r w:rsidRPr="00CF43E1">
        <w:rPr>
          <w:rFonts w:ascii="Arial" w:hAnsi="Arial" w:cs="Arial"/>
          <w:sz w:val="18"/>
          <w:szCs w:val="18"/>
          <w:lang w:val="es-ES"/>
        </w:rPr>
        <w:t xml:space="preserve">para lograr </w:t>
      </w:r>
      <w:r>
        <w:rPr>
          <w:rFonts w:ascii="Arial" w:hAnsi="Arial" w:cs="Arial"/>
          <w:sz w:val="18"/>
          <w:szCs w:val="18"/>
          <w:lang w:val="es-ES"/>
        </w:rPr>
        <w:t xml:space="preserve">que los </w:t>
      </w:r>
      <w:r w:rsidRPr="00CF43E1">
        <w:rPr>
          <w:rFonts w:ascii="Arial" w:hAnsi="Arial" w:cs="Arial"/>
          <w:sz w:val="18"/>
          <w:szCs w:val="18"/>
          <w:lang w:val="es-ES"/>
        </w:rPr>
        <w:t>niveles de acceso al financiamiento converjan con los de otras regiones (BID, 2014).</w:t>
      </w:r>
    </w:p>
    <w:p w14:paraId="0494C269" w14:textId="77777777" w:rsidR="002D2FB2" w:rsidRPr="00CF43E1" w:rsidRDefault="002D2FB2" w:rsidP="00EA1D5F">
      <w:pPr>
        <w:pStyle w:val="FootnoteText"/>
        <w:jc w:val="left"/>
        <w:rPr>
          <w:rFonts w:ascii="Arial" w:hAnsi="Arial" w:cs="Arial"/>
          <w:sz w:val="18"/>
          <w:szCs w:val="18"/>
          <w:lang w:val="es-ES"/>
        </w:rPr>
      </w:pPr>
    </w:p>
  </w:footnote>
  <w:footnote w:id="3">
    <w:p w14:paraId="59F2F622" w14:textId="7984D0CB" w:rsidR="002D2FB2" w:rsidRPr="00CF43E1" w:rsidRDefault="002D2FB2" w:rsidP="00044C4D">
      <w:pPr>
        <w:pStyle w:val="FootnoteText"/>
        <w:spacing w:after="0"/>
        <w:ind w:left="0" w:firstLine="0"/>
        <w:jc w:val="left"/>
        <w:rPr>
          <w:rFonts w:ascii="Arial" w:hAnsi="Arial" w:cs="Arial"/>
          <w:sz w:val="18"/>
          <w:szCs w:val="18"/>
          <w:lang w:val="es-ES_tradnl"/>
        </w:rPr>
      </w:pPr>
      <w:r w:rsidRPr="00CF43E1">
        <w:rPr>
          <w:rStyle w:val="FootnoteReference"/>
          <w:rFonts w:ascii="Arial" w:hAnsi="Arial" w:cs="Arial"/>
          <w:sz w:val="18"/>
          <w:szCs w:val="18"/>
        </w:rPr>
        <w:footnoteRef/>
      </w:r>
      <w:r>
        <w:rPr>
          <w:rFonts w:ascii="Arial" w:hAnsi="Arial" w:cs="Arial"/>
          <w:sz w:val="18"/>
          <w:szCs w:val="18"/>
          <w:lang w:val="es-ES_tradnl"/>
        </w:rPr>
        <w:t xml:space="preserve"> </w:t>
      </w:r>
      <w:r w:rsidRPr="00CF43E1">
        <w:rPr>
          <w:rFonts w:ascii="Arial" w:hAnsi="Arial" w:cs="Arial"/>
          <w:sz w:val="18"/>
          <w:szCs w:val="18"/>
          <w:lang w:val="es-ES_tradnl"/>
        </w:rPr>
        <w:t>Chile y Costa Rica representan ejemplos positivos y exitosos de esta modalidad.</w:t>
      </w:r>
    </w:p>
  </w:footnote>
  <w:footnote w:id="4">
    <w:p w14:paraId="58D954D6" w14:textId="30DE4194" w:rsidR="002D2FB2" w:rsidRPr="00044C4D" w:rsidRDefault="002D2FB2" w:rsidP="00044C4D">
      <w:pPr>
        <w:pStyle w:val="FootnoteText"/>
        <w:spacing w:after="0"/>
        <w:ind w:left="0" w:firstLine="0"/>
        <w:rPr>
          <w:rStyle w:val="FootnoteReference"/>
          <w:rFonts w:ascii="Arial" w:hAnsi="Arial" w:cs="Arial"/>
          <w:spacing w:val="0"/>
          <w:sz w:val="18"/>
          <w:szCs w:val="18"/>
          <w:vertAlign w:val="baseline"/>
          <w:lang w:val="es-ES_tradnl"/>
        </w:rPr>
      </w:pPr>
      <w:r w:rsidRPr="00CF43E1">
        <w:rPr>
          <w:rStyle w:val="FootnoteReference"/>
          <w:rFonts w:ascii="Arial" w:hAnsi="Arial" w:cs="Arial"/>
          <w:sz w:val="18"/>
          <w:szCs w:val="18"/>
        </w:rPr>
        <w:footnoteRef/>
      </w:r>
      <w:r w:rsidRPr="00044C4D">
        <w:rPr>
          <w:rStyle w:val="FootnoteReference"/>
          <w:rFonts w:ascii="Arial" w:hAnsi="Arial" w:cs="Arial"/>
          <w:sz w:val="18"/>
          <w:szCs w:val="18"/>
          <w:lang w:val="es-ES_tradnl"/>
        </w:rPr>
        <w:t xml:space="preserve"> </w:t>
      </w:r>
      <w:r w:rsidRPr="00044C4D">
        <w:rPr>
          <w:rStyle w:val="FootnoteReference"/>
          <w:rFonts w:ascii="Arial" w:hAnsi="Arial" w:cs="Arial"/>
          <w:sz w:val="18"/>
          <w:szCs w:val="18"/>
          <w:vertAlign w:val="baseline"/>
          <w:lang w:val="es-AR"/>
        </w:rPr>
        <w:t xml:space="preserve">A 2014 solo el 10% de las mujeres tenía acceso al crédito de </w:t>
      </w:r>
      <w:r w:rsidRPr="00044C4D">
        <w:rPr>
          <w:rFonts w:ascii="Arial" w:hAnsi="Arial" w:cs="Arial"/>
          <w:sz w:val="18"/>
          <w:szCs w:val="18"/>
          <w:lang w:val="es-AR"/>
        </w:rPr>
        <w:t xml:space="preserve">parte de </w:t>
      </w:r>
      <w:r w:rsidRPr="00044C4D">
        <w:rPr>
          <w:rStyle w:val="FootnoteReference"/>
          <w:rFonts w:ascii="Arial" w:hAnsi="Arial" w:cs="Arial"/>
          <w:sz w:val="18"/>
          <w:szCs w:val="18"/>
          <w:vertAlign w:val="baseline"/>
          <w:lang w:val="es-AR"/>
        </w:rPr>
        <w:t xml:space="preserve">entidades financieras en ALC, frente a un 16% en los países de la </w:t>
      </w:r>
      <w:r w:rsidRPr="00044C4D">
        <w:rPr>
          <w:rFonts w:ascii="Arial" w:hAnsi="Arial" w:cs="Arial"/>
          <w:sz w:val="18"/>
          <w:szCs w:val="18"/>
          <w:lang w:val="es-AR"/>
        </w:rPr>
        <w:t>Organización para la Cooperación y el Desarrollo Económicos (</w:t>
      </w:r>
      <w:r w:rsidRPr="00044C4D">
        <w:rPr>
          <w:rStyle w:val="FootnoteReference"/>
          <w:rFonts w:ascii="Arial" w:hAnsi="Arial" w:cs="Arial"/>
          <w:sz w:val="18"/>
          <w:szCs w:val="18"/>
          <w:vertAlign w:val="baseline"/>
          <w:lang w:val="es-AR"/>
        </w:rPr>
        <w:t>OCDE).</w:t>
      </w:r>
    </w:p>
  </w:footnote>
  <w:footnote w:id="5">
    <w:p w14:paraId="24987175" w14:textId="1092A834" w:rsidR="002D2FB2" w:rsidRPr="00044C4D" w:rsidRDefault="002D2FB2" w:rsidP="00044C4D">
      <w:pPr>
        <w:pStyle w:val="FootnoteText"/>
        <w:tabs>
          <w:tab w:val="left" w:pos="426"/>
        </w:tabs>
        <w:spacing w:after="0"/>
        <w:ind w:left="0" w:firstLine="0"/>
        <w:rPr>
          <w:rStyle w:val="FootnoteReference"/>
          <w:rFonts w:ascii="Arial" w:hAnsi="Arial" w:cs="Arial"/>
          <w:spacing w:val="0"/>
          <w:sz w:val="18"/>
          <w:szCs w:val="18"/>
          <w:vertAlign w:val="baseline"/>
          <w:lang w:val="pt-BR"/>
        </w:rPr>
      </w:pPr>
      <w:r w:rsidRPr="00CF43E1">
        <w:rPr>
          <w:rStyle w:val="FootnoteReference"/>
          <w:rFonts w:ascii="Arial" w:hAnsi="Arial" w:cs="Arial"/>
          <w:sz w:val="18"/>
          <w:szCs w:val="18"/>
          <w:lang w:val="es-ES"/>
        </w:rPr>
        <w:footnoteRef/>
      </w:r>
      <w:r w:rsidRPr="00044C4D">
        <w:rPr>
          <w:rStyle w:val="FootnoteReference"/>
          <w:rFonts w:ascii="Arial" w:hAnsi="Arial" w:cs="Arial"/>
          <w:sz w:val="18"/>
          <w:szCs w:val="18"/>
          <w:lang w:val="pt-BR"/>
        </w:rPr>
        <w:t xml:space="preserve"> </w:t>
      </w:r>
      <w:r w:rsidRPr="00044C4D">
        <w:rPr>
          <w:rStyle w:val="FootnoteReference"/>
          <w:rFonts w:ascii="Arial" w:hAnsi="Arial" w:cs="Arial"/>
          <w:sz w:val="18"/>
          <w:szCs w:val="18"/>
          <w:vertAlign w:val="baseline"/>
          <w:lang w:val="pt-BR"/>
        </w:rPr>
        <w:t>A nivel de las mayores economías de ALC, los resultados p</w:t>
      </w:r>
      <w:r w:rsidRPr="00044C4D">
        <w:rPr>
          <w:rFonts w:ascii="Arial" w:hAnsi="Arial" w:cs="Arial"/>
          <w:sz w:val="18"/>
          <w:szCs w:val="18"/>
          <w:lang w:val="pt-BR"/>
        </w:rPr>
        <w:t>ara</w:t>
      </w:r>
      <w:r w:rsidRPr="00044C4D">
        <w:rPr>
          <w:rStyle w:val="FootnoteReference"/>
          <w:rFonts w:ascii="Arial" w:hAnsi="Arial" w:cs="Arial"/>
          <w:sz w:val="18"/>
          <w:szCs w:val="18"/>
          <w:vertAlign w:val="baseline"/>
          <w:lang w:val="pt-BR"/>
        </w:rPr>
        <w:t xml:space="preserve"> 2011 muestran una gran dispersión: Chile (70%), Brasil (60%), Colombia (45%), México y Perú (25%), y Argentina (18%) (Vera y Titelman, 2013).</w:t>
      </w:r>
    </w:p>
  </w:footnote>
  <w:footnote w:id="6">
    <w:p w14:paraId="07455592" w14:textId="3522EFC9" w:rsidR="002D2FB2" w:rsidRPr="001B2B32" w:rsidRDefault="002D2FB2" w:rsidP="00CD44B9">
      <w:pPr>
        <w:pStyle w:val="FootnoteText"/>
        <w:tabs>
          <w:tab w:val="left" w:pos="270"/>
        </w:tabs>
        <w:spacing w:after="0"/>
        <w:ind w:left="0" w:firstLine="0"/>
        <w:jc w:val="left"/>
        <w:rPr>
          <w:rFonts w:ascii="Arial" w:hAnsi="Arial" w:cs="Arial"/>
          <w:sz w:val="18"/>
          <w:szCs w:val="18"/>
          <w:lang w:val="es-ES_tradnl"/>
        </w:rPr>
      </w:pPr>
      <w:r w:rsidRPr="008138A4">
        <w:rPr>
          <w:rStyle w:val="FootnoteReference"/>
          <w:rFonts w:ascii="Arial" w:hAnsi="Arial" w:cs="Arial"/>
          <w:sz w:val="18"/>
          <w:szCs w:val="18"/>
          <w:lang w:val="es-ES"/>
        </w:rPr>
        <w:footnoteRef/>
      </w:r>
      <w:r w:rsidRPr="001B2B32">
        <w:rPr>
          <w:rFonts w:ascii="Arial" w:hAnsi="Arial" w:cs="Arial"/>
          <w:sz w:val="18"/>
          <w:szCs w:val="18"/>
          <w:lang w:val="es-ES_tradnl"/>
        </w:rPr>
        <w:tab/>
      </w:r>
      <w:hyperlink r:id="rId1" w:history="1">
        <w:r w:rsidRPr="001B2B32">
          <w:rPr>
            <w:rStyle w:val="Hyperlink"/>
            <w:rFonts w:ascii="Arial" w:hAnsi="Arial" w:cs="Arial"/>
            <w:color w:val="auto"/>
            <w:sz w:val="18"/>
            <w:szCs w:val="18"/>
            <w:u w:val="none"/>
            <w:lang w:val="es-ES_tradnl"/>
          </w:rPr>
          <w:t>Véase Banco Central del</w:t>
        </w:r>
        <w:r w:rsidRPr="008138A4">
          <w:rPr>
            <w:rStyle w:val="Hyperlink"/>
            <w:rFonts w:ascii="Arial" w:hAnsi="Arial" w:cs="Arial"/>
            <w:color w:val="auto"/>
            <w:sz w:val="18"/>
            <w:szCs w:val="18"/>
            <w:u w:val="none"/>
            <w:lang w:val="uz-Cyrl-UZ"/>
          </w:rPr>
          <w:t xml:space="preserve"> Paraguay</w:t>
        </w:r>
        <w:r w:rsidRPr="001B2B32">
          <w:rPr>
            <w:rStyle w:val="Hyperlink"/>
            <w:rFonts w:ascii="Arial" w:hAnsi="Arial" w:cs="Arial"/>
            <w:color w:val="auto"/>
            <w:sz w:val="18"/>
            <w:szCs w:val="18"/>
            <w:u w:val="none"/>
            <w:lang w:val="es-ES_tradnl"/>
          </w:rPr>
          <w:t xml:space="preserve"> (BCP), Boletines Estadísticos.</w:t>
        </w:r>
      </w:hyperlink>
    </w:p>
  </w:footnote>
  <w:footnote w:id="7">
    <w:p w14:paraId="09F08122" w14:textId="64A7F141" w:rsidR="002D2FB2" w:rsidRPr="008138A4" w:rsidRDefault="002D2FB2" w:rsidP="00CD44B9">
      <w:pPr>
        <w:pStyle w:val="FootnoteText"/>
        <w:tabs>
          <w:tab w:val="left" w:pos="270"/>
        </w:tabs>
        <w:spacing w:after="0"/>
        <w:ind w:left="0" w:firstLine="0"/>
        <w:jc w:val="left"/>
        <w:rPr>
          <w:rFonts w:ascii="Arial" w:hAnsi="Arial" w:cs="Arial"/>
          <w:sz w:val="18"/>
          <w:szCs w:val="18"/>
          <w:lang w:val="es-ES"/>
        </w:rPr>
      </w:pPr>
      <w:r w:rsidRPr="008138A4">
        <w:rPr>
          <w:rStyle w:val="FootnoteReference"/>
          <w:rFonts w:ascii="Arial" w:hAnsi="Arial" w:cs="Arial"/>
          <w:sz w:val="18"/>
          <w:szCs w:val="18"/>
          <w:lang w:val="es-ES"/>
        </w:rPr>
        <w:footnoteRef/>
      </w:r>
      <w:r w:rsidRPr="008138A4">
        <w:rPr>
          <w:rFonts w:ascii="Arial" w:hAnsi="Arial" w:cs="Arial"/>
          <w:sz w:val="18"/>
          <w:szCs w:val="18"/>
          <w:lang w:val="es-ES"/>
        </w:rPr>
        <w:tab/>
      </w:r>
      <w:hyperlink r:id="rId2" w:history="1">
        <w:r w:rsidRPr="008138A4">
          <w:rPr>
            <w:rStyle w:val="Hyperlink"/>
            <w:rFonts w:ascii="Arial" w:hAnsi="Arial" w:cs="Arial"/>
            <w:color w:val="auto"/>
            <w:sz w:val="18"/>
            <w:szCs w:val="18"/>
            <w:u w:val="none"/>
            <w:lang w:val="es-ES"/>
          </w:rPr>
          <w:t>Superintendencia Financiera de Colombia, Evolución de la Cartera de Créditos.</w:t>
        </w:r>
      </w:hyperlink>
    </w:p>
  </w:footnote>
  <w:footnote w:id="8">
    <w:p w14:paraId="6A96A694" w14:textId="19DF292D" w:rsidR="002D2FB2" w:rsidRPr="008138A4" w:rsidRDefault="002D2FB2" w:rsidP="00CD44B9">
      <w:pPr>
        <w:pStyle w:val="FootnoteText"/>
        <w:tabs>
          <w:tab w:val="left" w:pos="270"/>
        </w:tabs>
        <w:spacing w:after="0"/>
        <w:ind w:left="0" w:firstLine="0"/>
        <w:jc w:val="left"/>
        <w:rPr>
          <w:rFonts w:ascii="Arial" w:hAnsi="Arial" w:cs="Arial"/>
          <w:sz w:val="18"/>
          <w:szCs w:val="18"/>
          <w:lang w:val="es-ES"/>
        </w:rPr>
      </w:pPr>
      <w:r w:rsidRPr="008138A4">
        <w:rPr>
          <w:rStyle w:val="FootnoteReference"/>
          <w:rFonts w:ascii="Arial" w:hAnsi="Arial" w:cs="Arial"/>
          <w:sz w:val="18"/>
          <w:szCs w:val="18"/>
          <w:lang w:val="es-ES"/>
        </w:rPr>
        <w:footnoteRef/>
      </w:r>
      <w:r w:rsidRPr="008138A4">
        <w:rPr>
          <w:rFonts w:ascii="Arial" w:hAnsi="Arial" w:cs="Arial"/>
          <w:sz w:val="18"/>
          <w:szCs w:val="18"/>
          <w:lang w:val="es-ES"/>
        </w:rPr>
        <w:tab/>
      </w:r>
      <w:hyperlink r:id="rId3" w:history="1">
        <w:r w:rsidRPr="008138A4">
          <w:rPr>
            <w:rStyle w:val="Hyperlink"/>
            <w:rFonts w:ascii="Arial" w:hAnsi="Arial" w:cs="Arial"/>
            <w:color w:val="auto"/>
            <w:sz w:val="18"/>
            <w:szCs w:val="18"/>
            <w:u w:val="none"/>
            <w:lang w:val="es-ES"/>
          </w:rPr>
          <w:t>Superintendencia de Banca, Seguros y AFP, Evolución del Sistema Financiero</w:t>
        </w:r>
      </w:hyperlink>
      <w:r w:rsidRPr="008138A4">
        <w:rPr>
          <w:rStyle w:val="Hyperlink"/>
          <w:rFonts w:ascii="Arial" w:hAnsi="Arial" w:cs="Arial"/>
          <w:color w:val="auto"/>
          <w:sz w:val="18"/>
          <w:szCs w:val="18"/>
          <w:u w:val="none"/>
          <w:lang w:val="es-ES"/>
        </w:rPr>
        <w:t>.</w:t>
      </w:r>
    </w:p>
  </w:footnote>
  <w:footnote w:id="9">
    <w:p w14:paraId="30816292" w14:textId="483DD681" w:rsidR="002D2FB2" w:rsidRPr="008138A4" w:rsidRDefault="002D2FB2" w:rsidP="00CD44B9">
      <w:pPr>
        <w:pStyle w:val="FootnoteText"/>
        <w:tabs>
          <w:tab w:val="left" w:pos="270"/>
        </w:tabs>
        <w:spacing w:after="0"/>
        <w:ind w:left="0" w:firstLine="0"/>
        <w:jc w:val="left"/>
        <w:rPr>
          <w:rFonts w:ascii="Arial" w:hAnsi="Arial" w:cs="Arial"/>
          <w:sz w:val="18"/>
          <w:szCs w:val="18"/>
          <w:lang w:val="es-ES"/>
        </w:rPr>
      </w:pPr>
      <w:r w:rsidRPr="008138A4">
        <w:rPr>
          <w:rStyle w:val="FootnoteReference"/>
          <w:rFonts w:ascii="Arial" w:hAnsi="Arial" w:cs="Arial"/>
          <w:sz w:val="18"/>
          <w:szCs w:val="18"/>
          <w:lang w:val="es-ES"/>
        </w:rPr>
        <w:footnoteRef/>
      </w:r>
      <w:r w:rsidRPr="008138A4">
        <w:rPr>
          <w:rFonts w:ascii="Arial" w:hAnsi="Arial" w:cs="Arial"/>
          <w:sz w:val="18"/>
          <w:szCs w:val="18"/>
          <w:lang w:val="es-ES"/>
        </w:rPr>
        <w:tab/>
      </w:r>
      <w:hyperlink r:id="rId4" w:history="1">
        <w:r w:rsidRPr="008138A4">
          <w:rPr>
            <w:rStyle w:val="Hyperlink"/>
            <w:rFonts w:ascii="Arial" w:hAnsi="Arial" w:cs="Arial"/>
            <w:color w:val="auto"/>
            <w:sz w:val="18"/>
            <w:szCs w:val="18"/>
            <w:u w:val="none"/>
            <w:lang w:val="es-ES"/>
          </w:rPr>
          <w:t>Superintendencia de Bancos e Instituciones Financieras de Chile, Información sobre Financiamiento de Viviendas</w:t>
        </w:r>
      </w:hyperlink>
      <w:r w:rsidRPr="008138A4">
        <w:rPr>
          <w:rStyle w:val="Hyperlink"/>
          <w:rFonts w:ascii="Arial" w:hAnsi="Arial" w:cs="Arial"/>
          <w:color w:val="auto"/>
          <w:sz w:val="18"/>
          <w:szCs w:val="18"/>
          <w:u w:val="none"/>
          <w:lang w:val="es-ES"/>
        </w:rPr>
        <w:t>.</w:t>
      </w:r>
    </w:p>
  </w:footnote>
  <w:footnote w:id="10">
    <w:p w14:paraId="6EAF369B" w14:textId="77777777" w:rsidR="002D2FB2" w:rsidRPr="00CF43E1" w:rsidRDefault="002D2FB2" w:rsidP="00AF2176">
      <w:pPr>
        <w:pStyle w:val="FootnoteText"/>
        <w:tabs>
          <w:tab w:val="left" w:pos="270"/>
        </w:tabs>
        <w:spacing w:after="0"/>
        <w:ind w:left="0" w:firstLine="0"/>
        <w:jc w:val="left"/>
        <w:rPr>
          <w:rStyle w:val="FootnoteReference"/>
          <w:rFonts w:ascii="Arial" w:hAnsi="Arial" w:cs="Arial"/>
          <w:sz w:val="18"/>
          <w:szCs w:val="18"/>
          <w:vertAlign w:val="baseline"/>
          <w:lang w:val="es-ES"/>
        </w:rPr>
      </w:pPr>
      <w:r w:rsidRPr="00CF43E1">
        <w:rPr>
          <w:rStyle w:val="FootnoteReference"/>
          <w:rFonts w:ascii="Arial" w:hAnsi="Arial" w:cs="Arial"/>
          <w:sz w:val="18"/>
          <w:szCs w:val="18"/>
          <w:lang w:val="es-ES"/>
        </w:rPr>
        <w:footnoteRef/>
      </w:r>
      <w:r w:rsidRPr="00CF43E1">
        <w:rPr>
          <w:rStyle w:val="FootnoteReference"/>
          <w:rFonts w:ascii="Arial" w:hAnsi="Arial" w:cs="Arial"/>
          <w:sz w:val="18"/>
          <w:szCs w:val="18"/>
          <w:lang w:val="es-ES"/>
        </w:rPr>
        <w:t xml:space="preserve"> </w:t>
      </w:r>
      <w:r w:rsidRPr="00CF43E1">
        <w:rPr>
          <w:rStyle w:val="FootnoteReference"/>
          <w:rFonts w:ascii="Arial" w:hAnsi="Arial" w:cs="Arial"/>
          <w:sz w:val="18"/>
          <w:szCs w:val="18"/>
          <w:vertAlign w:val="baseline"/>
          <w:lang w:val="es-ES"/>
        </w:rPr>
        <w:t>De hecho, pueden o no salir de los balances dependiendo del tipo de instrumentación de la securitización.</w:t>
      </w:r>
    </w:p>
  </w:footnote>
  <w:footnote w:id="11">
    <w:p w14:paraId="52CEC1A8" w14:textId="213B5FAB" w:rsidR="002D2FB2" w:rsidRPr="00CF43E1" w:rsidRDefault="002D2FB2" w:rsidP="00B8126C">
      <w:pPr>
        <w:pStyle w:val="FootnoteText"/>
        <w:tabs>
          <w:tab w:val="left" w:pos="567"/>
        </w:tabs>
        <w:spacing w:after="0"/>
        <w:ind w:left="0" w:firstLine="0"/>
        <w:rPr>
          <w:rStyle w:val="FootnoteReference"/>
          <w:rFonts w:ascii="Arial" w:hAnsi="Arial" w:cs="Arial"/>
          <w:spacing w:val="0"/>
          <w:sz w:val="18"/>
          <w:szCs w:val="18"/>
          <w:lang w:val="es-ES"/>
        </w:rPr>
      </w:pPr>
      <w:r w:rsidRPr="00CF43E1">
        <w:rPr>
          <w:rStyle w:val="FootnoteReference"/>
          <w:rFonts w:ascii="Arial" w:hAnsi="Arial" w:cs="Arial"/>
          <w:sz w:val="18"/>
          <w:szCs w:val="18"/>
          <w:lang w:val="es-ES"/>
        </w:rPr>
        <w:footnoteRef/>
      </w:r>
      <w:r w:rsidRPr="00CF43E1">
        <w:rPr>
          <w:rStyle w:val="FootnoteReference"/>
          <w:rFonts w:ascii="Arial" w:hAnsi="Arial" w:cs="Arial"/>
          <w:sz w:val="18"/>
          <w:szCs w:val="18"/>
          <w:lang w:val="es-ES"/>
        </w:rPr>
        <w:t xml:space="preserve"> </w:t>
      </w:r>
      <w:r>
        <w:rPr>
          <w:rFonts w:ascii="Arial" w:hAnsi="Arial" w:cs="Arial"/>
          <w:sz w:val="18"/>
          <w:szCs w:val="18"/>
          <w:lang w:val="es-ES"/>
        </w:rPr>
        <w:t xml:space="preserve">El </w:t>
      </w:r>
      <w:r>
        <w:rPr>
          <w:rFonts w:ascii="Arial" w:hAnsi="Arial" w:cs="Arial"/>
          <w:i/>
          <w:sz w:val="18"/>
          <w:szCs w:val="18"/>
          <w:lang w:val="es-ES"/>
        </w:rPr>
        <w:t>c</w:t>
      </w:r>
      <w:r w:rsidRPr="00044C4D">
        <w:rPr>
          <w:rStyle w:val="FootnoteReference"/>
          <w:rFonts w:ascii="Arial" w:hAnsi="Arial" w:cs="Arial"/>
          <w:i/>
          <w:sz w:val="18"/>
          <w:szCs w:val="18"/>
          <w:vertAlign w:val="baseline"/>
          <w:lang w:val="es-ES"/>
        </w:rPr>
        <w:t>rowdfunding</w:t>
      </w:r>
      <w:r w:rsidRPr="00CF43E1">
        <w:rPr>
          <w:rStyle w:val="FootnoteReference"/>
          <w:rFonts w:ascii="Arial" w:hAnsi="Arial" w:cs="Arial"/>
          <w:sz w:val="18"/>
          <w:szCs w:val="18"/>
          <w:vertAlign w:val="baseline"/>
          <w:lang w:val="es-ES"/>
        </w:rPr>
        <w:t xml:space="preserve"> o finanzas alternativas es un subsector de l</w:t>
      </w:r>
      <w:r w:rsidRPr="00CF43E1">
        <w:rPr>
          <w:rFonts w:ascii="Arial" w:hAnsi="Arial" w:cs="Arial"/>
          <w:sz w:val="18"/>
          <w:szCs w:val="18"/>
          <w:lang w:val="es-ES"/>
        </w:rPr>
        <w:t>a industria del</w:t>
      </w:r>
      <w:r w:rsidRPr="00CF43E1">
        <w:rPr>
          <w:rStyle w:val="FootnoteReference"/>
          <w:rFonts w:ascii="Arial" w:hAnsi="Arial" w:cs="Arial"/>
          <w:sz w:val="18"/>
          <w:szCs w:val="18"/>
          <w:vertAlign w:val="baseline"/>
          <w:lang w:val="es-ES"/>
        </w:rPr>
        <w:t xml:space="preserve"> </w:t>
      </w:r>
      <w:r w:rsidRPr="00044C4D">
        <w:rPr>
          <w:rStyle w:val="FootnoteReference"/>
          <w:rFonts w:ascii="Arial" w:hAnsi="Arial" w:cs="Arial"/>
          <w:i/>
          <w:sz w:val="18"/>
          <w:szCs w:val="18"/>
          <w:vertAlign w:val="baseline"/>
          <w:lang w:val="es-ES"/>
        </w:rPr>
        <w:t>fintech</w:t>
      </w:r>
      <w:r w:rsidRPr="00CF43E1">
        <w:rPr>
          <w:rStyle w:val="FootnoteReference"/>
          <w:rFonts w:ascii="Arial" w:hAnsi="Arial" w:cs="Arial"/>
          <w:sz w:val="18"/>
          <w:szCs w:val="18"/>
          <w:vertAlign w:val="baseline"/>
          <w:lang w:val="es-ES"/>
        </w:rPr>
        <w:t xml:space="preserve"> que consiste en empresas, llamadas plataformas u originadores, que usan medios electrónicos </w:t>
      </w:r>
      <w:r w:rsidRPr="00CF43E1">
        <w:rPr>
          <w:rFonts w:ascii="Arial" w:hAnsi="Arial" w:cs="Arial"/>
          <w:sz w:val="18"/>
          <w:szCs w:val="18"/>
          <w:lang w:val="es-ES"/>
        </w:rPr>
        <w:t xml:space="preserve">para articular la oferta de inversionistas o donantes con la demanda de fondos, representados por promotores (individuos o empresas) </w:t>
      </w:r>
      <w:r>
        <w:rPr>
          <w:rFonts w:ascii="Arial" w:hAnsi="Arial" w:cs="Arial"/>
          <w:sz w:val="18"/>
          <w:szCs w:val="18"/>
          <w:lang w:val="es-ES"/>
        </w:rPr>
        <w:t>que</w:t>
      </w:r>
      <w:r w:rsidRPr="00CF43E1">
        <w:rPr>
          <w:rFonts w:ascii="Arial" w:hAnsi="Arial" w:cs="Arial"/>
          <w:sz w:val="18"/>
          <w:szCs w:val="18"/>
          <w:lang w:val="es-ES"/>
        </w:rPr>
        <w:t xml:space="preserve"> tienen proyectos específicos a financiar </w:t>
      </w:r>
      <w:r w:rsidRPr="00CF43E1">
        <w:rPr>
          <w:rStyle w:val="FootnoteReference"/>
          <w:rFonts w:ascii="Arial" w:hAnsi="Arial" w:cs="Arial"/>
          <w:sz w:val="18"/>
          <w:szCs w:val="18"/>
          <w:vertAlign w:val="baseline"/>
          <w:lang w:val="es-ES"/>
        </w:rPr>
        <w:t>(Herrera, 2016).</w:t>
      </w:r>
    </w:p>
  </w:footnote>
  <w:footnote w:id="12">
    <w:p w14:paraId="60E832DB" w14:textId="3BBB3B72" w:rsidR="002D2FB2" w:rsidRPr="00CF43E1" w:rsidRDefault="002D2FB2" w:rsidP="00044C4D">
      <w:pPr>
        <w:pStyle w:val="FootnoteText"/>
        <w:tabs>
          <w:tab w:val="left" w:pos="284"/>
        </w:tabs>
        <w:spacing w:after="0"/>
        <w:ind w:left="0" w:firstLine="0"/>
        <w:rPr>
          <w:rFonts w:ascii="Arial" w:hAnsi="Arial" w:cs="Arial"/>
          <w:sz w:val="18"/>
          <w:szCs w:val="18"/>
          <w:lang w:val="es-ES"/>
        </w:rPr>
      </w:pPr>
      <w:r w:rsidRPr="00CF43E1">
        <w:rPr>
          <w:rStyle w:val="FootnoteReference"/>
          <w:rFonts w:ascii="Arial" w:hAnsi="Arial" w:cs="Arial"/>
          <w:sz w:val="18"/>
          <w:szCs w:val="18"/>
          <w:lang w:val="es-ES"/>
        </w:rPr>
        <w:footnoteRef/>
      </w:r>
      <w:r>
        <w:rPr>
          <w:rFonts w:ascii="Arial" w:hAnsi="Arial" w:cs="Arial"/>
          <w:sz w:val="18"/>
          <w:szCs w:val="18"/>
          <w:lang w:val="es-ES"/>
        </w:rPr>
        <w:t xml:space="preserve"> </w:t>
      </w:r>
      <w:r w:rsidRPr="00CF43E1">
        <w:rPr>
          <w:rFonts w:ascii="Arial" w:hAnsi="Arial" w:cs="Arial"/>
          <w:sz w:val="18"/>
          <w:szCs w:val="18"/>
          <w:lang w:val="es-ES"/>
        </w:rPr>
        <w:t xml:space="preserve">Otros factores estructurales (como la baja densidad poblacional/relativa abundancia de suelo, la débil </w:t>
      </w:r>
      <w:r w:rsidRPr="00CF43E1">
        <w:rPr>
          <w:rFonts w:ascii="Arial" w:eastAsia="Calibri" w:hAnsi="Arial" w:cs="Arial"/>
          <w:sz w:val="18"/>
          <w:szCs w:val="18"/>
          <w:lang w:val="es-ES"/>
        </w:rPr>
        <w:t>planificación</w:t>
      </w:r>
      <w:r w:rsidRPr="00CF43E1">
        <w:rPr>
          <w:rFonts w:ascii="Arial" w:hAnsi="Arial" w:cs="Arial"/>
          <w:sz w:val="18"/>
          <w:szCs w:val="18"/>
          <w:lang w:val="es-ES"/>
        </w:rPr>
        <w:t xml:space="preserve"> del uso del suelo en el modelo urbano</w:t>
      </w:r>
      <w:r>
        <w:rPr>
          <w:rFonts w:ascii="Arial" w:hAnsi="Arial" w:cs="Arial"/>
          <w:sz w:val="18"/>
          <w:szCs w:val="18"/>
          <w:lang w:val="es-ES"/>
        </w:rPr>
        <w:t>,</w:t>
      </w:r>
      <w:r w:rsidRPr="00CF43E1">
        <w:rPr>
          <w:rFonts w:ascii="Arial" w:hAnsi="Arial" w:cs="Arial"/>
          <w:sz w:val="18"/>
          <w:szCs w:val="18"/>
          <w:lang w:val="es-ES"/>
        </w:rPr>
        <w:t xml:space="preserve"> combinada con el acelerado proceso de concentración de la población) o</w:t>
      </w:r>
      <w:r>
        <w:rPr>
          <w:rFonts w:ascii="Arial" w:hAnsi="Arial" w:cs="Arial"/>
          <w:sz w:val="18"/>
          <w:szCs w:val="18"/>
          <w:lang w:val="es-ES"/>
        </w:rPr>
        <w:t xml:space="preserve"> cuestiones</w:t>
      </w:r>
      <w:r w:rsidRPr="00CF43E1">
        <w:rPr>
          <w:rFonts w:ascii="Arial" w:hAnsi="Arial" w:cs="Arial"/>
          <w:sz w:val="18"/>
          <w:szCs w:val="18"/>
          <w:lang w:val="es-ES"/>
        </w:rPr>
        <w:t xml:space="preserve"> institucionales (como el lento funcionamiento de la ejecución hipotecaria o del aparato registral y catastral) son dificultades adicionales, pero no han frenado la producción y venta de viviendas en la misma medida, es decir, estos factores inciden más bien en la calidad del desarrollo de la ciudad y en los costos de transacción.</w:t>
      </w:r>
    </w:p>
  </w:footnote>
  <w:footnote w:id="13">
    <w:p w14:paraId="46F3D9D1" w14:textId="0F3F333A" w:rsidR="002D2FB2" w:rsidRPr="00CF43E1" w:rsidRDefault="002D2FB2" w:rsidP="00CD44B9">
      <w:pPr>
        <w:pStyle w:val="FootnoteText"/>
        <w:tabs>
          <w:tab w:val="left" w:pos="270"/>
        </w:tabs>
        <w:spacing w:after="0"/>
        <w:ind w:left="0" w:firstLine="0"/>
        <w:jc w:val="left"/>
        <w:rPr>
          <w:rFonts w:ascii="Arial" w:hAnsi="Arial" w:cs="Arial"/>
          <w:sz w:val="18"/>
          <w:szCs w:val="18"/>
          <w:lang w:val="es-ES"/>
        </w:rPr>
      </w:pPr>
      <w:r w:rsidRPr="00CF43E1">
        <w:rPr>
          <w:rStyle w:val="FootnoteReference"/>
          <w:rFonts w:ascii="Arial" w:hAnsi="Arial" w:cs="Arial"/>
          <w:sz w:val="18"/>
          <w:szCs w:val="18"/>
          <w:lang w:val="es-ES"/>
        </w:rPr>
        <w:footnoteRef/>
      </w:r>
      <w:r w:rsidRPr="00CF43E1">
        <w:rPr>
          <w:rFonts w:ascii="Arial" w:hAnsi="Arial" w:cs="Arial"/>
          <w:sz w:val="18"/>
          <w:szCs w:val="18"/>
          <w:lang w:val="es-ES"/>
        </w:rPr>
        <w:t xml:space="preserve"> </w:t>
      </w:r>
      <w:r w:rsidRPr="00CF43E1">
        <w:rPr>
          <w:rFonts w:ascii="Arial" w:hAnsi="Arial" w:cs="Arial"/>
          <w:sz w:val="18"/>
          <w:szCs w:val="18"/>
          <w:lang w:val="es-ES"/>
        </w:rPr>
        <w:tab/>
        <w:t>Grupo focal con instituciones financieras y desarrolladores</w:t>
      </w:r>
      <w:r>
        <w:rPr>
          <w:rFonts w:ascii="Arial" w:hAnsi="Arial" w:cs="Arial"/>
          <w:sz w:val="18"/>
          <w:szCs w:val="18"/>
          <w:lang w:val="es-ES"/>
        </w:rPr>
        <w:t>, llevado a cabo por el BID el</w:t>
      </w:r>
      <w:r w:rsidRPr="00CF43E1">
        <w:rPr>
          <w:rFonts w:ascii="Arial" w:hAnsi="Arial" w:cs="Arial"/>
          <w:sz w:val="18"/>
          <w:szCs w:val="18"/>
          <w:lang w:val="es-ES"/>
        </w:rPr>
        <w:t xml:space="preserve"> 31 de mayo de 2016.</w:t>
      </w:r>
    </w:p>
  </w:footnote>
  <w:footnote w:id="14">
    <w:p w14:paraId="13F81419" w14:textId="069D0447" w:rsidR="002D2FB2" w:rsidRPr="00CF43E1" w:rsidRDefault="002D2FB2" w:rsidP="00CD44B9">
      <w:pPr>
        <w:pStyle w:val="FootnoteText"/>
        <w:tabs>
          <w:tab w:val="left" w:pos="180"/>
        </w:tabs>
        <w:spacing w:after="0"/>
        <w:ind w:left="0" w:firstLine="0"/>
        <w:jc w:val="left"/>
        <w:rPr>
          <w:rFonts w:ascii="Arial" w:hAnsi="Arial" w:cs="Arial"/>
          <w:sz w:val="18"/>
          <w:szCs w:val="18"/>
          <w:lang w:val="es-ES_tradnl"/>
        </w:rPr>
      </w:pPr>
      <w:r w:rsidRPr="00CF43E1">
        <w:rPr>
          <w:rStyle w:val="FootnoteReference"/>
          <w:rFonts w:ascii="Arial" w:hAnsi="Arial" w:cs="Arial"/>
          <w:sz w:val="18"/>
          <w:szCs w:val="18"/>
        </w:rPr>
        <w:footnoteRef/>
      </w:r>
      <w:r w:rsidRPr="00CF43E1">
        <w:rPr>
          <w:rFonts w:ascii="Arial" w:hAnsi="Arial" w:cs="Arial"/>
          <w:sz w:val="18"/>
          <w:szCs w:val="18"/>
          <w:lang w:val="es-ES_tradnl"/>
        </w:rPr>
        <w:t xml:space="preserve"> </w:t>
      </w:r>
      <w:r>
        <w:rPr>
          <w:rFonts w:ascii="Arial" w:hAnsi="Arial" w:cs="Arial"/>
          <w:sz w:val="18"/>
          <w:szCs w:val="18"/>
          <w:lang w:val="es-ES_tradnl"/>
        </w:rPr>
        <w:t>Véase A</w:t>
      </w:r>
      <w:r w:rsidRPr="00CF43E1">
        <w:rPr>
          <w:rFonts w:ascii="Arial" w:hAnsi="Arial" w:cs="Arial"/>
          <w:sz w:val="18"/>
          <w:szCs w:val="18"/>
          <w:lang w:val="es-ES_tradnl"/>
        </w:rPr>
        <w:t xml:space="preserve">gencia Internacional de Energía (IEA) </w:t>
      </w:r>
      <w:r>
        <w:rPr>
          <w:rFonts w:ascii="Arial" w:hAnsi="Arial" w:cs="Arial"/>
          <w:sz w:val="18"/>
          <w:szCs w:val="18"/>
          <w:lang w:val="es-ES_tradnl"/>
        </w:rPr>
        <w:t>(</w:t>
      </w:r>
      <w:r w:rsidRPr="00CF43E1">
        <w:rPr>
          <w:rFonts w:ascii="Arial" w:hAnsi="Arial" w:cs="Arial"/>
          <w:sz w:val="18"/>
          <w:szCs w:val="18"/>
          <w:lang w:val="es-ES_tradnl"/>
        </w:rPr>
        <w:t>2016</w:t>
      </w:r>
      <w:r>
        <w:rPr>
          <w:rFonts w:ascii="Arial" w:hAnsi="Arial" w:cs="Arial"/>
          <w:sz w:val="18"/>
          <w:szCs w:val="18"/>
          <w:lang w:val="es-ES_tradnl"/>
        </w:rPr>
        <w:t>) en el sitio:</w:t>
      </w:r>
      <w:r w:rsidRPr="00CF43E1">
        <w:rPr>
          <w:rFonts w:ascii="Arial" w:hAnsi="Arial" w:cs="Arial"/>
          <w:sz w:val="18"/>
          <w:szCs w:val="18"/>
          <w:lang w:val="es-ES_tradnl"/>
        </w:rPr>
        <w:t xml:space="preserve"> </w:t>
      </w:r>
      <w:hyperlink r:id="rId5" w:history="1">
        <w:r w:rsidRPr="00CF43E1">
          <w:rPr>
            <w:rStyle w:val="Hyperlink"/>
            <w:rFonts w:ascii="Arial" w:hAnsi="Arial" w:cs="Arial"/>
            <w:sz w:val="18"/>
            <w:szCs w:val="18"/>
            <w:lang w:val="es-MX"/>
          </w:rPr>
          <w:t>https://www.iea.org/publications/freepublications/publication/CO2EmissionsfromFuelCombustion_Highlights_2016.pdf</w:t>
        </w:r>
      </w:hyperlink>
      <w:r>
        <w:rPr>
          <w:rStyle w:val="Hyperlink"/>
          <w:rFonts w:ascii="Arial" w:hAnsi="Arial" w:cs="Arial"/>
          <w:sz w:val="18"/>
          <w:szCs w:val="18"/>
          <w:lang w:val="es-MX"/>
        </w:rPr>
        <w:t>.</w:t>
      </w:r>
      <w:r w:rsidRPr="00CF43E1">
        <w:rPr>
          <w:rFonts w:ascii="Arial" w:hAnsi="Arial" w:cs="Arial"/>
          <w:sz w:val="18"/>
          <w:szCs w:val="18"/>
          <w:lang w:val="es-MX"/>
        </w:rPr>
        <w:t xml:space="preserve"> </w:t>
      </w:r>
    </w:p>
  </w:footnote>
  <w:footnote w:id="15">
    <w:p w14:paraId="2F27CF83" w14:textId="6CB99687" w:rsidR="002D2FB2" w:rsidRPr="00044C4D" w:rsidRDefault="002D2FB2" w:rsidP="00E17EC5">
      <w:pPr>
        <w:pStyle w:val="FootnoteText"/>
        <w:tabs>
          <w:tab w:val="left" w:pos="180"/>
        </w:tabs>
        <w:spacing w:after="0"/>
        <w:ind w:left="0" w:firstLine="0"/>
        <w:jc w:val="left"/>
        <w:rPr>
          <w:rFonts w:ascii="Arial" w:hAnsi="Arial" w:cs="Arial"/>
          <w:sz w:val="18"/>
          <w:szCs w:val="18"/>
          <w:lang w:val="es-ES_tradnl"/>
        </w:rPr>
      </w:pPr>
      <w:r w:rsidRPr="00CF43E1">
        <w:rPr>
          <w:rStyle w:val="FootnoteReference"/>
          <w:rFonts w:ascii="Arial" w:hAnsi="Arial" w:cs="Arial"/>
          <w:sz w:val="18"/>
          <w:szCs w:val="18"/>
        </w:rPr>
        <w:footnoteRef/>
      </w:r>
      <w:r w:rsidRPr="00044C4D">
        <w:rPr>
          <w:rFonts w:ascii="Arial" w:hAnsi="Arial" w:cs="Arial"/>
          <w:sz w:val="18"/>
          <w:szCs w:val="18"/>
          <w:lang w:val="es-ES_tradnl"/>
        </w:rPr>
        <w:t xml:space="preserve"> Visítese el enlace del Banco Mundial (2016): </w:t>
      </w:r>
      <w:hyperlink r:id="rId6" w:history="1">
        <w:r w:rsidRPr="00044C4D">
          <w:rPr>
            <w:rStyle w:val="Hyperlink"/>
            <w:rFonts w:ascii="Arial" w:hAnsi="Arial" w:cs="Arial"/>
            <w:sz w:val="18"/>
            <w:szCs w:val="18"/>
            <w:lang w:val="es-ES_tradnl"/>
          </w:rPr>
          <w:t>http://www.bancomundial.org/es/news/feature/2016/04/28/construccion-inmobiliria-lac-emisiones-gases-mas-casas-o-mas-medioambiente</w:t>
        </w:r>
      </w:hyperlink>
      <w:r w:rsidRPr="00044C4D">
        <w:rPr>
          <w:rStyle w:val="Hyperlink"/>
          <w:rFonts w:ascii="Arial" w:hAnsi="Arial" w:cs="Arial"/>
          <w:sz w:val="18"/>
          <w:szCs w:val="18"/>
          <w:lang w:val="es-ES_tradnl"/>
        </w:rPr>
        <w:t>.</w:t>
      </w:r>
      <w:r w:rsidRPr="00044C4D">
        <w:rPr>
          <w:rFonts w:ascii="Arial" w:hAnsi="Arial" w:cs="Arial"/>
          <w:sz w:val="18"/>
          <w:szCs w:val="18"/>
          <w:lang w:val="es-ES_tradnl"/>
        </w:rPr>
        <w:t xml:space="preserve"> </w:t>
      </w:r>
    </w:p>
  </w:footnote>
  <w:footnote w:id="16">
    <w:p w14:paraId="2550928F" w14:textId="77777777" w:rsidR="002D2FB2" w:rsidRPr="00CF43E1" w:rsidRDefault="002D2FB2" w:rsidP="00E17EC5">
      <w:pPr>
        <w:pStyle w:val="FootnoteText"/>
        <w:tabs>
          <w:tab w:val="left" w:pos="180"/>
        </w:tabs>
        <w:spacing w:after="0"/>
        <w:ind w:left="0" w:firstLine="0"/>
        <w:jc w:val="left"/>
        <w:rPr>
          <w:rFonts w:ascii="Arial" w:hAnsi="Arial" w:cs="Arial"/>
          <w:sz w:val="18"/>
          <w:szCs w:val="18"/>
        </w:rPr>
      </w:pPr>
      <w:r w:rsidRPr="00CF43E1">
        <w:rPr>
          <w:rStyle w:val="FootnoteReference"/>
          <w:rFonts w:ascii="Arial" w:hAnsi="Arial" w:cs="Arial"/>
          <w:sz w:val="18"/>
          <w:szCs w:val="18"/>
        </w:rPr>
        <w:footnoteRef/>
      </w:r>
      <w:r w:rsidRPr="00CF43E1">
        <w:rPr>
          <w:rFonts w:ascii="Arial" w:hAnsi="Arial" w:cs="Arial"/>
          <w:sz w:val="18"/>
          <w:szCs w:val="18"/>
        </w:rPr>
        <w:t xml:space="preserve"> </w:t>
      </w:r>
      <w:r w:rsidRPr="00CF43E1">
        <w:rPr>
          <w:rFonts w:ascii="Arial" w:hAnsi="Arial" w:cs="Arial"/>
          <w:color w:val="000000"/>
          <w:sz w:val="18"/>
          <w:szCs w:val="18"/>
        </w:rPr>
        <w:t>World Resources Institute </w:t>
      </w:r>
      <w:hyperlink r:id="rId7" w:history="1">
        <w:r w:rsidRPr="00CF43E1">
          <w:rPr>
            <w:rStyle w:val="Hyperlink"/>
            <w:rFonts w:ascii="Arial" w:hAnsi="Arial" w:cs="Arial"/>
            <w:sz w:val="18"/>
            <w:szCs w:val="18"/>
          </w:rPr>
          <w:t>http://cait.wri.org/</w:t>
        </w:r>
      </w:hyperlink>
    </w:p>
  </w:footnote>
  <w:footnote w:id="17">
    <w:p w14:paraId="1F1333BF" w14:textId="3FEBFE06" w:rsidR="002D2FB2" w:rsidRPr="00044C4D" w:rsidRDefault="002D2FB2" w:rsidP="00E17EC5">
      <w:pPr>
        <w:pStyle w:val="FootnoteText"/>
        <w:tabs>
          <w:tab w:val="left" w:pos="180"/>
        </w:tabs>
        <w:spacing w:after="0"/>
        <w:ind w:left="0" w:firstLine="0"/>
        <w:jc w:val="left"/>
        <w:rPr>
          <w:rFonts w:ascii="Arial" w:hAnsi="Arial" w:cs="Arial"/>
          <w:sz w:val="18"/>
          <w:szCs w:val="18"/>
          <w:lang w:val="es-ES_tradnl"/>
        </w:rPr>
      </w:pPr>
      <w:r w:rsidRPr="00CF43E1">
        <w:rPr>
          <w:rStyle w:val="FootnoteReference"/>
          <w:rFonts w:ascii="Arial" w:hAnsi="Arial" w:cs="Arial"/>
          <w:sz w:val="18"/>
          <w:szCs w:val="18"/>
        </w:rPr>
        <w:footnoteRef/>
      </w:r>
      <w:r w:rsidRPr="00044C4D">
        <w:rPr>
          <w:rFonts w:ascii="Arial" w:hAnsi="Arial" w:cs="Arial"/>
          <w:sz w:val="18"/>
          <w:szCs w:val="18"/>
          <w:lang w:val="es-ES_tradnl"/>
        </w:rPr>
        <w:t xml:space="preserve"> Véase BID (2012) en el siguiente sitio web: </w:t>
      </w:r>
      <w:hyperlink r:id="rId8" w:history="1">
        <w:r w:rsidRPr="00044C4D">
          <w:rPr>
            <w:rStyle w:val="Hyperlink"/>
            <w:rFonts w:ascii="Arial" w:hAnsi="Arial" w:cs="Arial"/>
            <w:sz w:val="18"/>
            <w:szCs w:val="18"/>
            <w:lang w:val="es-ES_tradnl"/>
          </w:rPr>
          <w:t>http://www.iadb.org/en/topics/energy/energy-innovation-center/eic-test/flow-institutional-data,9877.html?view=v11</w:t>
        </w:r>
      </w:hyperlink>
      <w:r w:rsidRPr="00044C4D">
        <w:rPr>
          <w:rFonts w:ascii="Arial" w:hAnsi="Arial" w:cs="Arial"/>
          <w:sz w:val="18"/>
          <w:szCs w:val="18"/>
          <w:lang w:val="es-ES_tradnl"/>
        </w:rPr>
        <w:t xml:space="preserve"> .</w:t>
      </w:r>
    </w:p>
  </w:footnote>
  <w:footnote w:id="18">
    <w:p w14:paraId="3EB4D7EA" w14:textId="0C0B8FC5" w:rsidR="002D2FB2" w:rsidRPr="00CF43E1" w:rsidRDefault="002D2FB2" w:rsidP="00044C4D">
      <w:pPr>
        <w:pStyle w:val="FootnoteText"/>
        <w:ind w:left="0" w:firstLine="0"/>
        <w:rPr>
          <w:rFonts w:ascii="Arial" w:hAnsi="Arial" w:cs="Arial"/>
          <w:sz w:val="18"/>
          <w:szCs w:val="18"/>
          <w:lang w:val="es-ES_tradnl"/>
        </w:rPr>
      </w:pPr>
      <w:r w:rsidRPr="00CF43E1">
        <w:rPr>
          <w:rStyle w:val="FootnoteReference"/>
          <w:rFonts w:ascii="Arial" w:hAnsi="Arial" w:cs="Arial"/>
          <w:sz w:val="18"/>
          <w:szCs w:val="18"/>
        </w:rPr>
        <w:footnoteRef/>
      </w:r>
      <w:r>
        <w:rPr>
          <w:rFonts w:ascii="Arial" w:hAnsi="Arial" w:cs="Arial"/>
          <w:sz w:val="18"/>
          <w:szCs w:val="18"/>
          <w:lang w:val="es-ES_tradnl"/>
        </w:rPr>
        <w:t xml:space="preserve"> </w:t>
      </w:r>
      <w:r w:rsidRPr="00CF43E1">
        <w:rPr>
          <w:rFonts w:ascii="Arial" w:hAnsi="Arial" w:cs="Arial"/>
          <w:sz w:val="18"/>
          <w:szCs w:val="18"/>
          <w:lang w:val="es-ES_tradnl"/>
        </w:rPr>
        <w:t xml:space="preserve">En particular, aquellos alcanzados en la COP 21 </w:t>
      </w:r>
      <w:r>
        <w:rPr>
          <w:rFonts w:ascii="Arial" w:hAnsi="Arial" w:cs="Arial"/>
          <w:sz w:val="18"/>
          <w:szCs w:val="18"/>
          <w:lang w:val="es-ES_tradnl"/>
        </w:rPr>
        <w:t>que tuvo lugar</w:t>
      </w:r>
      <w:r w:rsidRPr="00CF43E1">
        <w:rPr>
          <w:rFonts w:ascii="Arial" w:hAnsi="Arial" w:cs="Arial"/>
          <w:sz w:val="18"/>
          <w:szCs w:val="18"/>
          <w:lang w:val="es-ES_tradnl"/>
        </w:rPr>
        <w:t xml:space="preserve"> en París en 2016 </w:t>
      </w:r>
      <w:r>
        <w:rPr>
          <w:rFonts w:ascii="Arial" w:hAnsi="Arial" w:cs="Arial"/>
          <w:sz w:val="18"/>
          <w:szCs w:val="18"/>
          <w:lang w:val="es-ES_tradnl"/>
        </w:rPr>
        <w:t>y que se relacionan</w:t>
      </w:r>
      <w:r w:rsidRPr="00CF43E1">
        <w:rPr>
          <w:rFonts w:ascii="Arial" w:hAnsi="Arial" w:cs="Arial"/>
          <w:sz w:val="18"/>
          <w:szCs w:val="18"/>
          <w:lang w:val="es-ES_tradnl"/>
        </w:rPr>
        <w:t xml:space="preserve"> con la reducción efectiva de la huella de carbono y los elementos para su medición</w:t>
      </w:r>
      <w:r>
        <w:rPr>
          <w:rFonts w:ascii="Arial" w:hAnsi="Arial" w:cs="Arial"/>
          <w:sz w:val="18"/>
          <w:szCs w:val="18"/>
          <w:lang w:val="es-ES_tradnl"/>
        </w:rPr>
        <w:t>,</w:t>
      </w:r>
      <w:r w:rsidRPr="00CF43E1">
        <w:rPr>
          <w:rFonts w:ascii="Arial" w:hAnsi="Arial" w:cs="Arial"/>
          <w:sz w:val="18"/>
          <w:szCs w:val="18"/>
          <w:lang w:val="es-ES_tradnl"/>
        </w:rPr>
        <w:t xml:space="preserve"> </w:t>
      </w:r>
      <w:r>
        <w:rPr>
          <w:rFonts w:ascii="Arial" w:hAnsi="Arial" w:cs="Arial"/>
          <w:sz w:val="18"/>
          <w:szCs w:val="18"/>
          <w:lang w:val="es-ES_tradnl"/>
        </w:rPr>
        <w:t>y los</w:t>
      </w:r>
      <w:r w:rsidRPr="00CF43E1">
        <w:rPr>
          <w:rFonts w:ascii="Arial" w:hAnsi="Arial" w:cs="Arial"/>
          <w:sz w:val="18"/>
          <w:szCs w:val="18"/>
          <w:lang w:val="es-ES_tradnl"/>
        </w:rPr>
        <w:t xml:space="preserve"> incentivos para alcanzarlos.</w:t>
      </w:r>
    </w:p>
  </w:footnote>
  <w:footnote w:id="19">
    <w:p w14:paraId="3ACC0852" w14:textId="6ABC8A0C" w:rsidR="002D2FB2" w:rsidRPr="00CF43E1" w:rsidRDefault="002D2FB2" w:rsidP="00044C4D">
      <w:pPr>
        <w:pStyle w:val="FootnoteText"/>
        <w:tabs>
          <w:tab w:val="left" w:pos="426"/>
        </w:tabs>
        <w:spacing w:after="0"/>
        <w:ind w:left="0" w:firstLine="0"/>
        <w:rPr>
          <w:rFonts w:ascii="Arial" w:hAnsi="Arial" w:cs="Arial"/>
          <w:sz w:val="18"/>
          <w:szCs w:val="18"/>
          <w:lang w:val="es-MX"/>
        </w:rPr>
      </w:pPr>
      <w:r w:rsidRPr="00CF43E1">
        <w:rPr>
          <w:rStyle w:val="FootnoteReference"/>
          <w:rFonts w:ascii="Arial" w:hAnsi="Arial" w:cs="Arial"/>
          <w:sz w:val="18"/>
          <w:szCs w:val="18"/>
        </w:rPr>
        <w:footnoteRef/>
      </w:r>
      <w:r w:rsidRPr="00CF43E1">
        <w:rPr>
          <w:rFonts w:ascii="Arial" w:hAnsi="Arial" w:cs="Arial"/>
          <w:sz w:val="18"/>
          <w:szCs w:val="18"/>
          <w:lang w:val="es-MX"/>
        </w:rPr>
        <w:t xml:space="preserve"> El BID ha </w:t>
      </w:r>
      <w:r>
        <w:rPr>
          <w:rFonts w:ascii="Arial" w:hAnsi="Arial" w:cs="Arial"/>
          <w:sz w:val="18"/>
          <w:szCs w:val="18"/>
          <w:lang w:val="es-MX"/>
        </w:rPr>
        <w:t>colaborado</w:t>
      </w:r>
      <w:r w:rsidRPr="00CF43E1">
        <w:rPr>
          <w:rFonts w:ascii="Arial" w:hAnsi="Arial" w:cs="Arial"/>
          <w:sz w:val="18"/>
          <w:szCs w:val="18"/>
          <w:lang w:val="es-MX"/>
        </w:rPr>
        <w:t xml:space="preserve"> con varios de estos BND en distintos temas</w:t>
      </w:r>
      <w:r>
        <w:rPr>
          <w:rFonts w:ascii="Arial" w:hAnsi="Arial" w:cs="Arial"/>
          <w:sz w:val="18"/>
          <w:szCs w:val="18"/>
          <w:lang w:val="es-MX"/>
        </w:rPr>
        <w:t>,</w:t>
      </w:r>
      <w:r w:rsidRPr="00CF43E1">
        <w:rPr>
          <w:rFonts w:ascii="Arial" w:hAnsi="Arial" w:cs="Arial"/>
          <w:sz w:val="18"/>
          <w:szCs w:val="18"/>
          <w:lang w:val="es-MX"/>
        </w:rPr>
        <w:t xml:space="preserve"> y particularmente en el sector de la vivienda ha trabajado con </w:t>
      </w:r>
      <w:r>
        <w:rPr>
          <w:rFonts w:ascii="Arial" w:hAnsi="Arial" w:cs="Arial"/>
          <w:sz w:val="18"/>
          <w:szCs w:val="18"/>
          <w:lang w:val="es-MX"/>
        </w:rPr>
        <w:t xml:space="preserve">el </w:t>
      </w:r>
      <w:r w:rsidRPr="00CF43E1">
        <w:rPr>
          <w:rFonts w:ascii="Arial" w:hAnsi="Arial" w:cs="Arial"/>
          <w:sz w:val="18"/>
          <w:szCs w:val="18"/>
          <w:lang w:val="es-MX"/>
        </w:rPr>
        <w:t xml:space="preserve">SHF, </w:t>
      </w:r>
      <w:r>
        <w:rPr>
          <w:rFonts w:ascii="Arial" w:hAnsi="Arial" w:cs="Arial"/>
          <w:sz w:val="18"/>
          <w:szCs w:val="18"/>
          <w:lang w:val="es-MX"/>
        </w:rPr>
        <w:t>Infonavit, Findeter, el</w:t>
      </w:r>
      <w:r w:rsidRPr="00CF43E1">
        <w:rPr>
          <w:rFonts w:ascii="Arial" w:hAnsi="Arial" w:cs="Arial"/>
          <w:sz w:val="18"/>
          <w:szCs w:val="18"/>
          <w:lang w:val="es-MX"/>
        </w:rPr>
        <w:t xml:space="preserve"> Fondo Mivivienda y </w:t>
      </w:r>
      <w:r>
        <w:rPr>
          <w:rFonts w:ascii="Arial" w:hAnsi="Arial" w:cs="Arial"/>
          <w:sz w:val="18"/>
          <w:szCs w:val="18"/>
          <w:lang w:val="es-MX"/>
        </w:rPr>
        <w:t xml:space="preserve">la </w:t>
      </w:r>
      <w:r w:rsidRPr="00CF43E1">
        <w:rPr>
          <w:rFonts w:ascii="Arial" w:hAnsi="Arial" w:cs="Arial"/>
          <w:sz w:val="18"/>
          <w:szCs w:val="18"/>
          <w:lang w:val="es-MX"/>
        </w:rPr>
        <w:t>AFD.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188" w14:textId="77777777" w:rsidR="002D2FB2" w:rsidRPr="00BD486A" w:rsidRDefault="002D2FB2" w:rsidP="003C1B6D">
    <w:pPr>
      <w:pStyle w:val="Header"/>
      <w:jc w:val="right"/>
      <w:rPr>
        <w:i/>
        <w:color w:val="808080" w:themeColor="background1" w:themeShade="80"/>
        <w:sz w:val="2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D17"/>
    <w:multiLevelType w:val="hybridMultilevel"/>
    <w:tmpl w:val="CE845B66"/>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153402"/>
    <w:multiLevelType w:val="hybridMultilevel"/>
    <w:tmpl w:val="B79692CE"/>
    <w:lvl w:ilvl="0" w:tplc="D5547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73E5F"/>
    <w:multiLevelType w:val="hybridMultilevel"/>
    <w:tmpl w:val="1E38CF70"/>
    <w:lvl w:ilvl="0" w:tplc="8334C760">
      <w:start w:val="1"/>
      <w:numFmt w:val="lowerRoman"/>
      <w:lvlText w:val="%1)"/>
      <w:lvlJc w:val="right"/>
      <w:pPr>
        <w:tabs>
          <w:tab w:val="num" w:pos="720"/>
        </w:tabs>
        <w:ind w:left="720" w:hanging="360"/>
      </w:pPr>
    </w:lvl>
    <w:lvl w:ilvl="1" w:tplc="5330E0F6" w:tentative="1">
      <w:start w:val="1"/>
      <w:numFmt w:val="lowerRoman"/>
      <w:lvlText w:val="%2)"/>
      <w:lvlJc w:val="right"/>
      <w:pPr>
        <w:tabs>
          <w:tab w:val="num" w:pos="1440"/>
        </w:tabs>
        <w:ind w:left="1440" w:hanging="360"/>
      </w:pPr>
    </w:lvl>
    <w:lvl w:ilvl="2" w:tplc="E3E0C18C" w:tentative="1">
      <w:start w:val="1"/>
      <w:numFmt w:val="lowerRoman"/>
      <w:lvlText w:val="%3)"/>
      <w:lvlJc w:val="right"/>
      <w:pPr>
        <w:tabs>
          <w:tab w:val="num" w:pos="2160"/>
        </w:tabs>
        <w:ind w:left="2160" w:hanging="360"/>
      </w:pPr>
    </w:lvl>
    <w:lvl w:ilvl="3" w:tplc="9E0CCB46" w:tentative="1">
      <w:start w:val="1"/>
      <w:numFmt w:val="lowerRoman"/>
      <w:lvlText w:val="%4)"/>
      <w:lvlJc w:val="right"/>
      <w:pPr>
        <w:tabs>
          <w:tab w:val="num" w:pos="2880"/>
        </w:tabs>
        <w:ind w:left="2880" w:hanging="360"/>
      </w:pPr>
    </w:lvl>
    <w:lvl w:ilvl="4" w:tplc="CF801E70" w:tentative="1">
      <w:start w:val="1"/>
      <w:numFmt w:val="lowerRoman"/>
      <w:lvlText w:val="%5)"/>
      <w:lvlJc w:val="right"/>
      <w:pPr>
        <w:tabs>
          <w:tab w:val="num" w:pos="3600"/>
        </w:tabs>
        <w:ind w:left="3600" w:hanging="360"/>
      </w:pPr>
    </w:lvl>
    <w:lvl w:ilvl="5" w:tplc="30626F56" w:tentative="1">
      <w:start w:val="1"/>
      <w:numFmt w:val="lowerRoman"/>
      <w:lvlText w:val="%6)"/>
      <w:lvlJc w:val="right"/>
      <w:pPr>
        <w:tabs>
          <w:tab w:val="num" w:pos="4320"/>
        </w:tabs>
        <w:ind w:left="4320" w:hanging="360"/>
      </w:pPr>
    </w:lvl>
    <w:lvl w:ilvl="6" w:tplc="AA227892" w:tentative="1">
      <w:start w:val="1"/>
      <w:numFmt w:val="lowerRoman"/>
      <w:lvlText w:val="%7)"/>
      <w:lvlJc w:val="right"/>
      <w:pPr>
        <w:tabs>
          <w:tab w:val="num" w:pos="5040"/>
        </w:tabs>
        <w:ind w:left="5040" w:hanging="360"/>
      </w:pPr>
    </w:lvl>
    <w:lvl w:ilvl="7" w:tplc="DEFCF1E0" w:tentative="1">
      <w:start w:val="1"/>
      <w:numFmt w:val="lowerRoman"/>
      <w:lvlText w:val="%8)"/>
      <w:lvlJc w:val="right"/>
      <w:pPr>
        <w:tabs>
          <w:tab w:val="num" w:pos="5760"/>
        </w:tabs>
        <w:ind w:left="5760" w:hanging="360"/>
      </w:pPr>
    </w:lvl>
    <w:lvl w:ilvl="8" w:tplc="DC16C17C" w:tentative="1">
      <w:start w:val="1"/>
      <w:numFmt w:val="lowerRoman"/>
      <w:lvlText w:val="%9)"/>
      <w:lvlJc w:val="right"/>
      <w:pPr>
        <w:tabs>
          <w:tab w:val="num" w:pos="6480"/>
        </w:tabs>
        <w:ind w:left="6480" w:hanging="360"/>
      </w:pPr>
    </w:lvl>
  </w:abstractNum>
  <w:abstractNum w:abstractNumId="3" w15:restartNumberingAfterBreak="0">
    <w:nsid w:val="1A9042A8"/>
    <w:multiLevelType w:val="hybridMultilevel"/>
    <w:tmpl w:val="E200AD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0737FC"/>
    <w:multiLevelType w:val="multilevel"/>
    <w:tmpl w:val="21BEBA7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86CC5"/>
    <w:multiLevelType w:val="hybridMultilevel"/>
    <w:tmpl w:val="435A4B78"/>
    <w:lvl w:ilvl="0" w:tplc="4FACF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0E47CB"/>
    <w:multiLevelType w:val="hybridMultilevel"/>
    <w:tmpl w:val="19B452EA"/>
    <w:lvl w:ilvl="0" w:tplc="D5547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20B3E"/>
    <w:multiLevelType w:val="hybridMultilevel"/>
    <w:tmpl w:val="FA66A8DA"/>
    <w:lvl w:ilvl="0" w:tplc="ABEE7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679A8"/>
    <w:multiLevelType w:val="hybridMultilevel"/>
    <w:tmpl w:val="CE845B66"/>
    <w:lvl w:ilvl="0" w:tplc="04090019">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3DBB6B21"/>
    <w:multiLevelType w:val="hybridMultilevel"/>
    <w:tmpl w:val="C5A035CA"/>
    <w:lvl w:ilvl="0" w:tplc="BBD8E5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F65472B"/>
    <w:multiLevelType w:val="hybridMultilevel"/>
    <w:tmpl w:val="E9DC2400"/>
    <w:lvl w:ilvl="0" w:tplc="04090001">
      <w:start w:val="1"/>
      <w:numFmt w:val="bullet"/>
      <w:lvlText w:val=""/>
      <w:lvlJc w:val="left"/>
      <w:pPr>
        <w:tabs>
          <w:tab w:val="num" w:pos="720"/>
        </w:tabs>
        <w:ind w:left="720" w:hanging="360"/>
      </w:pPr>
      <w:rPr>
        <w:rFonts w:ascii="Symbol" w:hAnsi="Symbol" w:hint="default"/>
      </w:rPr>
    </w:lvl>
    <w:lvl w:ilvl="1" w:tplc="5330E0F6" w:tentative="1">
      <w:start w:val="1"/>
      <w:numFmt w:val="lowerRoman"/>
      <w:lvlText w:val="%2)"/>
      <w:lvlJc w:val="right"/>
      <w:pPr>
        <w:tabs>
          <w:tab w:val="num" w:pos="1440"/>
        </w:tabs>
        <w:ind w:left="1440" w:hanging="360"/>
      </w:pPr>
    </w:lvl>
    <w:lvl w:ilvl="2" w:tplc="E3E0C18C" w:tentative="1">
      <w:start w:val="1"/>
      <w:numFmt w:val="lowerRoman"/>
      <w:lvlText w:val="%3)"/>
      <w:lvlJc w:val="right"/>
      <w:pPr>
        <w:tabs>
          <w:tab w:val="num" w:pos="2160"/>
        </w:tabs>
        <w:ind w:left="2160" w:hanging="360"/>
      </w:pPr>
    </w:lvl>
    <w:lvl w:ilvl="3" w:tplc="9E0CCB46" w:tentative="1">
      <w:start w:val="1"/>
      <w:numFmt w:val="lowerRoman"/>
      <w:lvlText w:val="%4)"/>
      <w:lvlJc w:val="right"/>
      <w:pPr>
        <w:tabs>
          <w:tab w:val="num" w:pos="2880"/>
        </w:tabs>
        <w:ind w:left="2880" w:hanging="360"/>
      </w:pPr>
    </w:lvl>
    <w:lvl w:ilvl="4" w:tplc="CF801E70" w:tentative="1">
      <w:start w:val="1"/>
      <w:numFmt w:val="lowerRoman"/>
      <w:lvlText w:val="%5)"/>
      <w:lvlJc w:val="right"/>
      <w:pPr>
        <w:tabs>
          <w:tab w:val="num" w:pos="3600"/>
        </w:tabs>
        <w:ind w:left="3600" w:hanging="360"/>
      </w:pPr>
    </w:lvl>
    <w:lvl w:ilvl="5" w:tplc="30626F56" w:tentative="1">
      <w:start w:val="1"/>
      <w:numFmt w:val="lowerRoman"/>
      <w:lvlText w:val="%6)"/>
      <w:lvlJc w:val="right"/>
      <w:pPr>
        <w:tabs>
          <w:tab w:val="num" w:pos="4320"/>
        </w:tabs>
        <w:ind w:left="4320" w:hanging="360"/>
      </w:pPr>
    </w:lvl>
    <w:lvl w:ilvl="6" w:tplc="AA227892" w:tentative="1">
      <w:start w:val="1"/>
      <w:numFmt w:val="lowerRoman"/>
      <w:lvlText w:val="%7)"/>
      <w:lvlJc w:val="right"/>
      <w:pPr>
        <w:tabs>
          <w:tab w:val="num" w:pos="5040"/>
        </w:tabs>
        <w:ind w:left="5040" w:hanging="360"/>
      </w:pPr>
    </w:lvl>
    <w:lvl w:ilvl="7" w:tplc="DEFCF1E0" w:tentative="1">
      <w:start w:val="1"/>
      <w:numFmt w:val="lowerRoman"/>
      <w:lvlText w:val="%8)"/>
      <w:lvlJc w:val="right"/>
      <w:pPr>
        <w:tabs>
          <w:tab w:val="num" w:pos="5760"/>
        </w:tabs>
        <w:ind w:left="5760" w:hanging="360"/>
      </w:pPr>
    </w:lvl>
    <w:lvl w:ilvl="8" w:tplc="DC16C17C" w:tentative="1">
      <w:start w:val="1"/>
      <w:numFmt w:val="lowerRoman"/>
      <w:lvlText w:val="%9)"/>
      <w:lvlJc w:val="right"/>
      <w:pPr>
        <w:tabs>
          <w:tab w:val="num" w:pos="6480"/>
        </w:tabs>
        <w:ind w:left="6480" w:hanging="360"/>
      </w:pPr>
    </w:lvl>
  </w:abstractNum>
  <w:abstractNum w:abstractNumId="11" w15:restartNumberingAfterBreak="0">
    <w:nsid w:val="3FB005E2"/>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FF01185"/>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2592517"/>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3DA368B"/>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BEA14A1"/>
    <w:multiLevelType w:val="hybridMultilevel"/>
    <w:tmpl w:val="760076A6"/>
    <w:lvl w:ilvl="0" w:tplc="520298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CA47AA5"/>
    <w:multiLevelType w:val="hybridMultilevel"/>
    <w:tmpl w:val="D94E01F6"/>
    <w:lvl w:ilvl="0" w:tplc="D5547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A3F71"/>
    <w:multiLevelType w:val="hybridMultilevel"/>
    <w:tmpl w:val="1902B5F2"/>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FF63C4D"/>
    <w:multiLevelType w:val="hybridMultilevel"/>
    <w:tmpl w:val="CE845B66"/>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5425613"/>
    <w:multiLevelType w:val="hybridMultilevel"/>
    <w:tmpl w:val="CA9ECA6E"/>
    <w:lvl w:ilvl="0" w:tplc="BDCA9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ED077D"/>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73D60C2"/>
    <w:multiLevelType w:val="hybridMultilevel"/>
    <w:tmpl w:val="80223172"/>
    <w:lvl w:ilvl="0" w:tplc="6EDC707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21DD"/>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C6A6A15"/>
    <w:multiLevelType w:val="hybridMultilevel"/>
    <w:tmpl w:val="CE845B66"/>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DD01965"/>
    <w:multiLevelType w:val="hybridMultilevel"/>
    <w:tmpl w:val="2F48678A"/>
    <w:lvl w:ilvl="0" w:tplc="D55479E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098344B"/>
    <w:multiLevelType w:val="multilevel"/>
    <w:tmpl w:val="A8AC745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2514F87"/>
    <w:multiLevelType w:val="hybridMultilevel"/>
    <w:tmpl w:val="2216F6A8"/>
    <w:lvl w:ilvl="0" w:tplc="0D049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3205C"/>
    <w:multiLevelType w:val="hybridMultilevel"/>
    <w:tmpl w:val="435A4B78"/>
    <w:lvl w:ilvl="0" w:tplc="4FACF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706A"/>
    <w:multiLevelType w:val="multilevel"/>
    <w:tmpl w:val="396EAEFE"/>
    <w:lvl w:ilvl="0">
      <w:start w:val="1"/>
      <w:numFmt w:val="upperRoman"/>
      <w:lvlRestart w:val="0"/>
      <w:pStyle w:val="Chapter"/>
      <w:lvlText w:val="%1."/>
      <w:lvlJc w:val="center"/>
      <w:pPr>
        <w:tabs>
          <w:tab w:val="num" w:pos="648"/>
        </w:tabs>
        <w:ind w:left="0" w:firstLine="288"/>
      </w:pPr>
      <w:rPr>
        <w:b/>
        <w:i w:val="0"/>
      </w:rPr>
    </w:lvl>
    <w:lvl w:ilvl="1">
      <w:start w:val="1"/>
      <w:numFmt w:val="decimal"/>
      <w:pStyle w:val="Paragraph"/>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DFA384A"/>
    <w:multiLevelType w:val="hybridMultilevel"/>
    <w:tmpl w:val="725E05DA"/>
    <w:lvl w:ilvl="0" w:tplc="E6ACF578">
      <w:start w:val="1"/>
      <w:numFmt w:val="lowerRoman"/>
      <w:lvlText w:val="%1)"/>
      <w:lvlJc w:val="right"/>
      <w:pPr>
        <w:tabs>
          <w:tab w:val="num" w:pos="720"/>
        </w:tabs>
        <w:ind w:left="720" w:hanging="360"/>
      </w:pPr>
    </w:lvl>
    <w:lvl w:ilvl="1" w:tplc="9D02CC9C" w:tentative="1">
      <w:start w:val="1"/>
      <w:numFmt w:val="lowerRoman"/>
      <w:lvlText w:val="%2)"/>
      <w:lvlJc w:val="right"/>
      <w:pPr>
        <w:tabs>
          <w:tab w:val="num" w:pos="1440"/>
        </w:tabs>
        <w:ind w:left="1440" w:hanging="360"/>
      </w:pPr>
    </w:lvl>
    <w:lvl w:ilvl="2" w:tplc="1764ABD2" w:tentative="1">
      <w:start w:val="1"/>
      <w:numFmt w:val="lowerRoman"/>
      <w:lvlText w:val="%3)"/>
      <w:lvlJc w:val="right"/>
      <w:pPr>
        <w:tabs>
          <w:tab w:val="num" w:pos="2160"/>
        </w:tabs>
        <w:ind w:left="2160" w:hanging="360"/>
      </w:pPr>
    </w:lvl>
    <w:lvl w:ilvl="3" w:tplc="3D6E125A" w:tentative="1">
      <w:start w:val="1"/>
      <w:numFmt w:val="lowerRoman"/>
      <w:lvlText w:val="%4)"/>
      <w:lvlJc w:val="right"/>
      <w:pPr>
        <w:tabs>
          <w:tab w:val="num" w:pos="2880"/>
        </w:tabs>
        <w:ind w:left="2880" w:hanging="360"/>
      </w:pPr>
    </w:lvl>
    <w:lvl w:ilvl="4" w:tplc="4F9C88BC" w:tentative="1">
      <w:start w:val="1"/>
      <w:numFmt w:val="lowerRoman"/>
      <w:lvlText w:val="%5)"/>
      <w:lvlJc w:val="right"/>
      <w:pPr>
        <w:tabs>
          <w:tab w:val="num" w:pos="3600"/>
        </w:tabs>
        <w:ind w:left="3600" w:hanging="360"/>
      </w:pPr>
    </w:lvl>
    <w:lvl w:ilvl="5" w:tplc="20AE3FAA" w:tentative="1">
      <w:start w:val="1"/>
      <w:numFmt w:val="lowerRoman"/>
      <w:lvlText w:val="%6)"/>
      <w:lvlJc w:val="right"/>
      <w:pPr>
        <w:tabs>
          <w:tab w:val="num" w:pos="4320"/>
        </w:tabs>
        <w:ind w:left="4320" w:hanging="360"/>
      </w:pPr>
    </w:lvl>
    <w:lvl w:ilvl="6" w:tplc="C4F44C0A" w:tentative="1">
      <w:start w:val="1"/>
      <w:numFmt w:val="lowerRoman"/>
      <w:lvlText w:val="%7)"/>
      <w:lvlJc w:val="right"/>
      <w:pPr>
        <w:tabs>
          <w:tab w:val="num" w:pos="5040"/>
        </w:tabs>
        <w:ind w:left="5040" w:hanging="360"/>
      </w:pPr>
    </w:lvl>
    <w:lvl w:ilvl="7" w:tplc="6AD2841A" w:tentative="1">
      <w:start w:val="1"/>
      <w:numFmt w:val="lowerRoman"/>
      <w:lvlText w:val="%8)"/>
      <w:lvlJc w:val="right"/>
      <w:pPr>
        <w:tabs>
          <w:tab w:val="num" w:pos="5760"/>
        </w:tabs>
        <w:ind w:left="5760" w:hanging="360"/>
      </w:pPr>
    </w:lvl>
    <w:lvl w:ilvl="8" w:tplc="572ED938" w:tentative="1">
      <w:start w:val="1"/>
      <w:numFmt w:val="lowerRoman"/>
      <w:lvlText w:val="%9)"/>
      <w:lvlJc w:val="right"/>
      <w:pPr>
        <w:tabs>
          <w:tab w:val="num" w:pos="6480"/>
        </w:tabs>
        <w:ind w:left="6480" w:hanging="360"/>
      </w:pPr>
    </w:lvl>
  </w:abstractNum>
  <w:num w:numId="1">
    <w:abstractNumId w:val="4"/>
  </w:num>
  <w:num w:numId="2">
    <w:abstractNumId w:val="28"/>
  </w:num>
  <w:num w:numId="3">
    <w:abstractNumId w:val="13"/>
  </w:num>
  <w:num w:numId="4">
    <w:abstractNumId w:val="11"/>
  </w:num>
  <w:num w:numId="5">
    <w:abstractNumId w:val="12"/>
  </w:num>
  <w:num w:numId="6">
    <w:abstractNumId w:val="14"/>
  </w:num>
  <w:num w:numId="7">
    <w:abstractNumId w:val="4"/>
  </w:num>
  <w:num w:numId="8">
    <w:abstractNumId w:val="3"/>
  </w:num>
  <w:num w:numId="9">
    <w:abstractNumId w:val="16"/>
  </w:num>
  <w:num w:numId="10">
    <w:abstractNumId w:val="6"/>
  </w:num>
  <w:num w:numId="11">
    <w:abstractNumId w:val="1"/>
  </w:num>
  <w:num w:numId="12">
    <w:abstractNumId w:val="7"/>
  </w:num>
  <w:num w:numId="13">
    <w:abstractNumId w:val="26"/>
  </w:num>
  <w:num w:numId="14">
    <w:abstractNumId w:val="2"/>
  </w:num>
  <w:num w:numId="15">
    <w:abstractNumId w:val="10"/>
  </w:num>
  <w:num w:numId="16">
    <w:abstractNumId w:val="29"/>
  </w:num>
  <w:num w:numId="17">
    <w:abstractNumId w:val="9"/>
  </w:num>
  <w:num w:numId="18">
    <w:abstractNumId w:val="15"/>
  </w:num>
  <w:num w:numId="19">
    <w:abstractNumId w:val="21"/>
  </w:num>
  <w:num w:numId="20">
    <w:abstractNumId w:val="19"/>
  </w:num>
  <w:num w:numId="21">
    <w:abstractNumId w:val="27"/>
  </w:num>
  <w:num w:numId="22">
    <w:abstractNumId w:val="4"/>
  </w:num>
  <w:num w:numId="23">
    <w:abstractNumId w:val="4"/>
  </w:num>
  <w:num w:numId="24">
    <w:abstractNumId w:val="4"/>
  </w:num>
  <w:num w:numId="25">
    <w:abstractNumId w:val="4"/>
  </w:num>
  <w:num w:numId="26">
    <w:abstractNumId w:val="0"/>
  </w:num>
  <w:num w:numId="27">
    <w:abstractNumId w:val="22"/>
  </w:num>
  <w:num w:numId="28">
    <w:abstractNumId w:val="20"/>
  </w:num>
  <w:num w:numId="29">
    <w:abstractNumId w:val="24"/>
  </w:num>
  <w:num w:numId="30">
    <w:abstractNumId w:val="17"/>
  </w:num>
  <w:num w:numId="31">
    <w:abstractNumId w:val="5"/>
  </w:num>
  <w:num w:numId="32">
    <w:abstractNumId w:val="18"/>
  </w:num>
  <w:num w:numId="33">
    <w:abstractNumId w:val="23"/>
  </w:num>
  <w:num w:numId="34">
    <w:abstractNumId w:val="8"/>
  </w:num>
  <w:num w:numId="3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0" w:nlCheck="1" w:checkStyle="0"/>
  <w:activeWritingStyle w:appName="MSWord" w:lang="es-PE"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2B"/>
    <w:rsid w:val="00001ED4"/>
    <w:rsid w:val="00006EE4"/>
    <w:rsid w:val="00011391"/>
    <w:rsid w:val="00012F25"/>
    <w:rsid w:val="00013BD4"/>
    <w:rsid w:val="00017017"/>
    <w:rsid w:val="00022144"/>
    <w:rsid w:val="00025BEF"/>
    <w:rsid w:val="00031C1D"/>
    <w:rsid w:val="00044C4D"/>
    <w:rsid w:val="00066884"/>
    <w:rsid w:val="00067CA3"/>
    <w:rsid w:val="000701CE"/>
    <w:rsid w:val="00071C6B"/>
    <w:rsid w:val="00072702"/>
    <w:rsid w:val="000808A0"/>
    <w:rsid w:val="00080CA6"/>
    <w:rsid w:val="00081212"/>
    <w:rsid w:val="00081476"/>
    <w:rsid w:val="000902D1"/>
    <w:rsid w:val="00093B8E"/>
    <w:rsid w:val="000978DE"/>
    <w:rsid w:val="000D345F"/>
    <w:rsid w:val="000D500C"/>
    <w:rsid w:val="000D5D7C"/>
    <w:rsid w:val="000E0D72"/>
    <w:rsid w:val="000E58E4"/>
    <w:rsid w:val="000F4C26"/>
    <w:rsid w:val="000F5189"/>
    <w:rsid w:val="0010033F"/>
    <w:rsid w:val="00102769"/>
    <w:rsid w:val="00112DDA"/>
    <w:rsid w:val="00124842"/>
    <w:rsid w:val="001327E7"/>
    <w:rsid w:val="001332BC"/>
    <w:rsid w:val="00136E08"/>
    <w:rsid w:val="0014757D"/>
    <w:rsid w:val="0015261F"/>
    <w:rsid w:val="001569D7"/>
    <w:rsid w:val="001612C6"/>
    <w:rsid w:val="00170369"/>
    <w:rsid w:val="001719FA"/>
    <w:rsid w:val="00173F13"/>
    <w:rsid w:val="00181E85"/>
    <w:rsid w:val="00186465"/>
    <w:rsid w:val="001954DD"/>
    <w:rsid w:val="0019716A"/>
    <w:rsid w:val="001A35F8"/>
    <w:rsid w:val="001A3948"/>
    <w:rsid w:val="001B1482"/>
    <w:rsid w:val="001B2B32"/>
    <w:rsid w:val="001B3607"/>
    <w:rsid w:val="001C4A4E"/>
    <w:rsid w:val="001C7DD9"/>
    <w:rsid w:val="001D06F7"/>
    <w:rsid w:val="001D4D33"/>
    <w:rsid w:val="001E7610"/>
    <w:rsid w:val="001F1C83"/>
    <w:rsid w:val="0021728A"/>
    <w:rsid w:val="00221DCC"/>
    <w:rsid w:val="00223C03"/>
    <w:rsid w:val="00224266"/>
    <w:rsid w:val="00230374"/>
    <w:rsid w:val="00230416"/>
    <w:rsid w:val="00236723"/>
    <w:rsid w:val="00245451"/>
    <w:rsid w:val="002504CB"/>
    <w:rsid w:val="002523B7"/>
    <w:rsid w:val="002531DA"/>
    <w:rsid w:val="00253A3A"/>
    <w:rsid w:val="0025772E"/>
    <w:rsid w:val="002747D6"/>
    <w:rsid w:val="00277AE1"/>
    <w:rsid w:val="00291517"/>
    <w:rsid w:val="0029532E"/>
    <w:rsid w:val="002A14DA"/>
    <w:rsid w:val="002B2BD1"/>
    <w:rsid w:val="002C3D08"/>
    <w:rsid w:val="002D295A"/>
    <w:rsid w:val="002D2FB2"/>
    <w:rsid w:val="002E4132"/>
    <w:rsid w:val="002F0478"/>
    <w:rsid w:val="002F39D1"/>
    <w:rsid w:val="002F62C5"/>
    <w:rsid w:val="00300791"/>
    <w:rsid w:val="003026AB"/>
    <w:rsid w:val="00315DCC"/>
    <w:rsid w:val="003266CC"/>
    <w:rsid w:val="003278ED"/>
    <w:rsid w:val="00332D6C"/>
    <w:rsid w:val="00341901"/>
    <w:rsid w:val="0034293A"/>
    <w:rsid w:val="003455E7"/>
    <w:rsid w:val="0034700C"/>
    <w:rsid w:val="00353081"/>
    <w:rsid w:val="003673E0"/>
    <w:rsid w:val="00377879"/>
    <w:rsid w:val="00390D62"/>
    <w:rsid w:val="003A620C"/>
    <w:rsid w:val="003A71D5"/>
    <w:rsid w:val="003B14C3"/>
    <w:rsid w:val="003B37F7"/>
    <w:rsid w:val="003B4A78"/>
    <w:rsid w:val="003B5D24"/>
    <w:rsid w:val="003B6CE1"/>
    <w:rsid w:val="003C13BA"/>
    <w:rsid w:val="003C15C4"/>
    <w:rsid w:val="003C1B6D"/>
    <w:rsid w:val="003D0906"/>
    <w:rsid w:val="003D11DD"/>
    <w:rsid w:val="003F1B2F"/>
    <w:rsid w:val="003F3636"/>
    <w:rsid w:val="00400787"/>
    <w:rsid w:val="00400A6A"/>
    <w:rsid w:val="00412CF4"/>
    <w:rsid w:val="00424B6E"/>
    <w:rsid w:val="004404A9"/>
    <w:rsid w:val="00443815"/>
    <w:rsid w:val="00445ADF"/>
    <w:rsid w:val="0045081F"/>
    <w:rsid w:val="00461C9D"/>
    <w:rsid w:val="00462342"/>
    <w:rsid w:val="0046319F"/>
    <w:rsid w:val="00470C49"/>
    <w:rsid w:val="00491913"/>
    <w:rsid w:val="004A12E9"/>
    <w:rsid w:val="004A1E40"/>
    <w:rsid w:val="004A3F69"/>
    <w:rsid w:val="004A5178"/>
    <w:rsid w:val="004A51DC"/>
    <w:rsid w:val="004B17DD"/>
    <w:rsid w:val="004B2477"/>
    <w:rsid w:val="004C4314"/>
    <w:rsid w:val="004D2EBC"/>
    <w:rsid w:val="004E24C4"/>
    <w:rsid w:val="004E7DCF"/>
    <w:rsid w:val="004F08B8"/>
    <w:rsid w:val="004F1A63"/>
    <w:rsid w:val="004F5283"/>
    <w:rsid w:val="005004A1"/>
    <w:rsid w:val="00503F6C"/>
    <w:rsid w:val="005079AB"/>
    <w:rsid w:val="0051306C"/>
    <w:rsid w:val="00521A00"/>
    <w:rsid w:val="00525587"/>
    <w:rsid w:val="00527DCA"/>
    <w:rsid w:val="005324CD"/>
    <w:rsid w:val="00533C57"/>
    <w:rsid w:val="00543571"/>
    <w:rsid w:val="00545C67"/>
    <w:rsid w:val="005501E6"/>
    <w:rsid w:val="00552B17"/>
    <w:rsid w:val="00552EBD"/>
    <w:rsid w:val="005539DF"/>
    <w:rsid w:val="005644CE"/>
    <w:rsid w:val="005666B0"/>
    <w:rsid w:val="005725F6"/>
    <w:rsid w:val="005751C8"/>
    <w:rsid w:val="00576EB8"/>
    <w:rsid w:val="005775CD"/>
    <w:rsid w:val="00580807"/>
    <w:rsid w:val="00590F57"/>
    <w:rsid w:val="00595329"/>
    <w:rsid w:val="0059601C"/>
    <w:rsid w:val="005A2B36"/>
    <w:rsid w:val="005A3C6B"/>
    <w:rsid w:val="005B04E5"/>
    <w:rsid w:val="005B6649"/>
    <w:rsid w:val="005B71A6"/>
    <w:rsid w:val="005C604D"/>
    <w:rsid w:val="005D574F"/>
    <w:rsid w:val="005F0250"/>
    <w:rsid w:val="00601D28"/>
    <w:rsid w:val="00614BBC"/>
    <w:rsid w:val="00631E42"/>
    <w:rsid w:val="00633907"/>
    <w:rsid w:val="006537EB"/>
    <w:rsid w:val="00662F45"/>
    <w:rsid w:val="00666C9C"/>
    <w:rsid w:val="00670B2C"/>
    <w:rsid w:val="00673971"/>
    <w:rsid w:val="00674810"/>
    <w:rsid w:val="00680AC7"/>
    <w:rsid w:val="0068573E"/>
    <w:rsid w:val="006948A6"/>
    <w:rsid w:val="006951BC"/>
    <w:rsid w:val="00695BCD"/>
    <w:rsid w:val="006965D7"/>
    <w:rsid w:val="006A12BE"/>
    <w:rsid w:val="006A77BC"/>
    <w:rsid w:val="006B0E0E"/>
    <w:rsid w:val="006C608C"/>
    <w:rsid w:val="006E34C9"/>
    <w:rsid w:val="006F694E"/>
    <w:rsid w:val="0070507E"/>
    <w:rsid w:val="00715B81"/>
    <w:rsid w:val="00720634"/>
    <w:rsid w:val="00723FAE"/>
    <w:rsid w:val="00727C6E"/>
    <w:rsid w:val="0073426E"/>
    <w:rsid w:val="0073786A"/>
    <w:rsid w:val="00746B89"/>
    <w:rsid w:val="0075534D"/>
    <w:rsid w:val="007570A9"/>
    <w:rsid w:val="00786221"/>
    <w:rsid w:val="00794D99"/>
    <w:rsid w:val="00796608"/>
    <w:rsid w:val="007B462B"/>
    <w:rsid w:val="007B58DD"/>
    <w:rsid w:val="007C4E6E"/>
    <w:rsid w:val="007D0D13"/>
    <w:rsid w:val="007D4476"/>
    <w:rsid w:val="007D58E3"/>
    <w:rsid w:val="007D7004"/>
    <w:rsid w:val="007E3066"/>
    <w:rsid w:val="007E6267"/>
    <w:rsid w:val="007E662E"/>
    <w:rsid w:val="007F00B6"/>
    <w:rsid w:val="007F5F97"/>
    <w:rsid w:val="007F6F84"/>
    <w:rsid w:val="00812D78"/>
    <w:rsid w:val="008138A4"/>
    <w:rsid w:val="0081705B"/>
    <w:rsid w:val="00817479"/>
    <w:rsid w:val="0082174F"/>
    <w:rsid w:val="00821C3B"/>
    <w:rsid w:val="008227B2"/>
    <w:rsid w:val="00831048"/>
    <w:rsid w:val="0084323A"/>
    <w:rsid w:val="00843C62"/>
    <w:rsid w:val="00865B48"/>
    <w:rsid w:val="00867175"/>
    <w:rsid w:val="008835E4"/>
    <w:rsid w:val="008927B3"/>
    <w:rsid w:val="008939F2"/>
    <w:rsid w:val="008A0F05"/>
    <w:rsid w:val="008B5AA2"/>
    <w:rsid w:val="008C7A1E"/>
    <w:rsid w:val="008D2014"/>
    <w:rsid w:val="008D6D09"/>
    <w:rsid w:val="008E3341"/>
    <w:rsid w:val="008E46E7"/>
    <w:rsid w:val="008E7765"/>
    <w:rsid w:val="008F0938"/>
    <w:rsid w:val="00903CA4"/>
    <w:rsid w:val="00912068"/>
    <w:rsid w:val="00920131"/>
    <w:rsid w:val="00924EEB"/>
    <w:rsid w:val="0092533D"/>
    <w:rsid w:val="00930D54"/>
    <w:rsid w:val="00942812"/>
    <w:rsid w:val="00944C6D"/>
    <w:rsid w:val="00963FD6"/>
    <w:rsid w:val="00971CF6"/>
    <w:rsid w:val="00973FA2"/>
    <w:rsid w:val="00974723"/>
    <w:rsid w:val="0098001C"/>
    <w:rsid w:val="009832DA"/>
    <w:rsid w:val="009863F2"/>
    <w:rsid w:val="00994EE6"/>
    <w:rsid w:val="00996A6F"/>
    <w:rsid w:val="009A512A"/>
    <w:rsid w:val="009A51AC"/>
    <w:rsid w:val="009A54C2"/>
    <w:rsid w:val="009B53E8"/>
    <w:rsid w:val="009D12E6"/>
    <w:rsid w:val="009E27E4"/>
    <w:rsid w:val="009E4A4C"/>
    <w:rsid w:val="009F4FC5"/>
    <w:rsid w:val="00A04A94"/>
    <w:rsid w:val="00A162D0"/>
    <w:rsid w:val="00A32742"/>
    <w:rsid w:val="00A4089E"/>
    <w:rsid w:val="00A424E0"/>
    <w:rsid w:val="00A45F5F"/>
    <w:rsid w:val="00A466F8"/>
    <w:rsid w:val="00A611AC"/>
    <w:rsid w:val="00A66BEE"/>
    <w:rsid w:val="00A81126"/>
    <w:rsid w:val="00A85CF8"/>
    <w:rsid w:val="00A85DDB"/>
    <w:rsid w:val="00A90D49"/>
    <w:rsid w:val="00A9210F"/>
    <w:rsid w:val="00A95004"/>
    <w:rsid w:val="00AA11EC"/>
    <w:rsid w:val="00AA3BF3"/>
    <w:rsid w:val="00AB5A24"/>
    <w:rsid w:val="00AB6E92"/>
    <w:rsid w:val="00AB7017"/>
    <w:rsid w:val="00AD3494"/>
    <w:rsid w:val="00AE2C0C"/>
    <w:rsid w:val="00AE2C24"/>
    <w:rsid w:val="00AE317F"/>
    <w:rsid w:val="00AE664E"/>
    <w:rsid w:val="00AF2176"/>
    <w:rsid w:val="00B24672"/>
    <w:rsid w:val="00B36300"/>
    <w:rsid w:val="00B50E79"/>
    <w:rsid w:val="00B51164"/>
    <w:rsid w:val="00B605AF"/>
    <w:rsid w:val="00B7051C"/>
    <w:rsid w:val="00B7534B"/>
    <w:rsid w:val="00B75CF3"/>
    <w:rsid w:val="00B8126C"/>
    <w:rsid w:val="00B91568"/>
    <w:rsid w:val="00B94424"/>
    <w:rsid w:val="00BA2B54"/>
    <w:rsid w:val="00BA7432"/>
    <w:rsid w:val="00BA7752"/>
    <w:rsid w:val="00BB00AA"/>
    <w:rsid w:val="00BB0D39"/>
    <w:rsid w:val="00BB15C8"/>
    <w:rsid w:val="00BB660C"/>
    <w:rsid w:val="00BC0EDC"/>
    <w:rsid w:val="00BC40A5"/>
    <w:rsid w:val="00BC6E70"/>
    <w:rsid w:val="00BD0171"/>
    <w:rsid w:val="00BD028B"/>
    <w:rsid w:val="00BD486A"/>
    <w:rsid w:val="00BE0D4B"/>
    <w:rsid w:val="00BE3BF8"/>
    <w:rsid w:val="00BE694B"/>
    <w:rsid w:val="00BE7992"/>
    <w:rsid w:val="00BF429F"/>
    <w:rsid w:val="00BF5912"/>
    <w:rsid w:val="00C02B1D"/>
    <w:rsid w:val="00C0793F"/>
    <w:rsid w:val="00C15F36"/>
    <w:rsid w:val="00C177B7"/>
    <w:rsid w:val="00C528A9"/>
    <w:rsid w:val="00C71101"/>
    <w:rsid w:val="00C7231F"/>
    <w:rsid w:val="00C831E0"/>
    <w:rsid w:val="00C866ED"/>
    <w:rsid w:val="00CA3A2B"/>
    <w:rsid w:val="00CB3D5A"/>
    <w:rsid w:val="00CC2CD6"/>
    <w:rsid w:val="00CC513A"/>
    <w:rsid w:val="00CC7F6E"/>
    <w:rsid w:val="00CD44B9"/>
    <w:rsid w:val="00CE189F"/>
    <w:rsid w:val="00CE7797"/>
    <w:rsid w:val="00CE7F3D"/>
    <w:rsid w:val="00CF43E1"/>
    <w:rsid w:val="00CF5EBB"/>
    <w:rsid w:val="00D16BD4"/>
    <w:rsid w:val="00D23D51"/>
    <w:rsid w:val="00D27850"/>
    <w:rsid w:val="00D35DEA"/>
    <w:rsid w:val="00D41E89"/>
    <w:rsid w:val="00D425C3"/>
    <w:rsid w:val="00D43051"/>
    <w:rsid w:val="00D458D2"/>
    <w:rsid w:val="00D65B7D"/>
    <w:rsid w:val="00D71B01"/>
    <w:rsid w:val="00D731D6"/>
    <w:rsid w:val="00D7596E"/>
    <w:rsid w:val="00D76406"/>
    <w:rsid w:val="00D81954"/>
    <w:rsid w:val="00D82C93"/>
    <w:rsid w:val="00D82E41"/>
    <w:rsid w:val="00D9034E"/>
    <w:rsid w:val="00D95EC6"/>
    <w:rsid w:val="00DA0334"/>
    <w:rsid w:val="00DB6C00"/>
    <w:rsid w:val="00DD12A9"/>
    <w:rsid w:val="00DD2D67"/>
    <w:rsid w:val="00DE261A"/>
    <w:rsid w:val="00DF40B3"/>
    <w:rsid w:val="00DF6DB7"/>
    <w:rsid w:val="00E00B6B"/>
    <w:rsid w:val="00E02753"/>
    <w:rsid w:val="00E03A72"/>
    <w:rsid w:val="00E06748"/>
    <w:rsid w:val="00E115F5"/>
    <w:rsid w:val="00E12CD0"/>
    <w:rsid w:val="00E17EC5"/>
    <w:rsid w:val="00E2624F"/>
    <w:rsid w:val="00E30619"/>
    <w:rsid w:val="00E32DF9"/>
    <w:rsid w:val="00E4285A"/>
    <w:rsid w:val="00E42E1D"/>
    <w:rsid w:val="00E45D49"/>
    <w:rsid w:val="00E70A25"/>
    <w:rsid w:val="00E7370D"/>
    <w:rsid w:val="00E73BD7"/>
    <w:rsid w:val="00E73EDC"/>
    <w:rsid w:val="00E75D8C"/>
    <w:rsid w:val="00E763B6"/>
    <w:rsid w:val="00E9776B"/>
    <w:rsid w:val="00EA1046"/>
    <w:rsid w:val="00EA1C1A"/>
    <w:rsid w:val="00EA1D5F"/>
    <w:rsid w:val="00ED2EE3"/>
    <w:rsid w:val="00ED595C"/>
    <w:rsid w:val="00EE17B8"/>
    <w:rsid w:val="00EF0942"/>
    <w:rsid w:val="00EF4519"/>
    <w:rsid w:val="00F05303"/>
    <w:rsid w:val="00F065DE"/>
    <w:rsid w:val="00F13C27"/>
    <w:rsid w:val="00F13EEA"/>
    <w:rsid w:val="00F23168"/>
    <w:rsid w:val="00F269AD"/>
    <w:rsid w:val="00F27970"/>
    <w:rsid w:val="00F330B6"/>
    <w:rsid w:val="00F4025D"/>
    <w:rsid w:val="00F415A9"/>
    <w:rsid w:val="00F44B68"/>
    <w:rsid w:val="00F44E9F"/>
    <w:rsid w:val="00F454B5"/>
    <w:rsid w:val="00F52A90"/>
    <w:rsid w:val="00F70322"/>
    <w:rsid w:val="00F73BBA"/>
    <w:rsid w:val="00F76ABC"/>
    <w:rsid w:val="00F82446"/>
    <w:rsid w:val="00FA5207"/>
    <w:rsid w:val="00FC5A2B"/>
    <w:rsid w:val="00FC7D95"/>
    <w:rsid w:val="00FF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C3788"/>
  <w15:docId w15:val="{2EEA9904-84B9-40DD-91E3-30FED778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E70"/>
    <w:rPr>
      <w:rFonts w:ascii="Gotham Book" w:hAnsi="Gotham Book"/>
    </w:rPr>
  </w:style>
  <w:style w:type="paragraph" w:styleId="Heading1">
    <w:name w:val="heading 1"/>
    <w:basedOn w:val="ListParagraph"/>
    <w:next w:val="Normal"/>
    <w:link w:val="Heading1Char"/>
    <w:uiPriority w:val="9"/>
    <w:qFormat/>
    <w:rsid w:val="00AB5A24"/>
    <w:pPr>
      <w:ind w:left="0"/>
      <w:jc w:val="both"/>
      <w:outlineLvl w:val="0"/>
    </w:pPr>
    <w:rPr>
      <w:b/>
      <w:lang w:val="es-ES_tradnl"/>
    </w:rPr>
  </w:style>
  <w:style w:type="paragraph" w:styleId="Heading2">
    <w:name w:val="heading 2"/>
    <w:basedOn w:val="Normal"/>
    <w:next w:val="Normal"/>
    <w:link w:val="Heading2Char"/>
    <w:uiPriority w:val="9"/>
    <w:unhideWhenUsed/>
    <w:qFormat/>
    <w:rsid w:val="009832DA"/>
    <w:pPr>
      <w:keepNext/>
      <w:keepLines/>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27970"/>
    <w:pPr>
      <w:keepNext/>
      <w:keepLines/>
      <w:spacing w:after="0"/>
      <w:outlineLvl w:val="2"/>
    </w:pPr>
    <w:rPr>
      <w:rFonts w:ascii="Gotham Light" w:eastAsiaTheme="majorEastAsia" w:hAnsi="Gotham Light" w:cstheme="majorBidi"/>
      <w:bCs/>
      <w:u w:val="single"/>
    </w:rPr>
  </w:style>
  <w:style w:type="paragraph" w:styleId="Heading4">
    <w:name w:val="heading 4"/>
    <w:basedOn w:val="Normal"/>
    <w:next w:val="Normal"/>
    <w:link w:val="Heading4Char"/>
    <w:uiPriority w:val="9"/>
    <w:semiHidden/>
    <w:unhideWhenUsed/>
    <w:qFormat/>
    <w:rsid w:val="00315DC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5DC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5DC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5DC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5DC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15DC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6F7"/>
    <w:pPr>
      <w:ind w:left="720"/>
      <w:contextualSpacing/>
    </w:pPr>
  </w:style>
  <w:style w:type="paragraph" w:styleId="BalloonText">
    <w:name w:val="Balloon Text"/>
    <w:basedOn w:val="Normal"/>
    <w:link w:val="BalloonTextChar"/>
    <w:uiPriority w:val="99"/>
    <w:semiHidden/>
    <w:unhideWhenUsed/>
    <w:rsid w:val="00FF7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E17"/>
    <w:rPr>
      <w:rFonts w:ascii="Tahoma" w:hAnsi="Tahoma" w:cs="Tahoma"/>
      <w:sz w:val="16"/>
      <w:szCs w:val="16"/>
    </w:rPr>
  </w:style>
  <w:style w:type="character" w:styleId="Hyperlink">
    <w:name w:val="Hyperlink"/>
    <w:basedOn w:val="DefaultParagraphFont"/>
    <w:uiPriority w:val="99"/>
    <w:unhideWhenUsed/>
    <w:rsid w:val="00F44E9F"/>
    <w:rPr>
      <w:color w:val="0000FF" w:themeColor="hyperlink"/>
      <w:u w:val="single"/>
    </w:rPr>
  </w:style>
  <w:style w:type="character" w:customStyle="1" w:styleId="Heading1Char">
    <w:name w:val="Heading 1 Char"/>
    <w:basedOn w:val="DefaultParagraphFont"/>
    <w:link w:val="Heading1"/>
    <w:uiPriority w:val="9"/>
    <w:rsid w:val="00AB5A24"/>
    <w:rPr>
      <w:b/>
      <w:lang w:val="es-ES_tradnl"/>
    </w:rPr>
  </w:style>
  <w:style w:type="paragraph" w:styleId="TOCHeading">
    <w:name w:val="TOC Heading"/>
    <w:basedOn w:val="Heading1"/>
    <w:next w:val="Normal"/>
    <w:uiPriority w:val="39"/>
    <w:unhideWhenUsed/>
    <w:qFormat/>
    <w:rsid w:val="00AB5A24"/>
    <w:pPr>
      <w:outlineLvl w:val="9"/>
    </w:pPr>
    <w:rPr>
      <w:lang w:eastAsia="ja-JP"/>
    </w:rPr>
  </w:style>
  <w:style w:type="paragraph" w:styleId="TOC1">
    <w:name w:val="toc 1"/>
    <w:basedOn w:val="Normal"/>
    <w:next w:val="Normal"/>
    <w:autoRedefine/>
    <w:uiPriority w:val="39"/>
    <w:unhideWhenUsed/>
    <w:qFormat/>
    <w:rsid w:val="005F0250"/>
    <w:pPr>
      <w:tabs>
        <w:tab w:val="left" w:pos="810"/>
        <w:tab w:val="right" w:leader="dot" w:pos="9360"/>
      </w:tabs>
      <w:spacing w:before="240" w:after="240" w:line="240" w:lineRule="auto"/>
      <w:ind w:left="270" w:hanging="270"/>
    </w:pPr>
    <w:rPr>
      <w:rFonts w:ascii="Times New Roman" w:hAnsi="Times New Roman" w:cs="Times New Roman"/>
      <w:smallCaps/>
      <w:sz w:val="24"/>
    </w:rPr>
  </w:style>
  <w:style w:type="paragraph" w:customStyle="1" w:styleId="Chapter">
    <w:name w:val="Chapter"/>
    <w:basedOn w:val="Normal"/>
    <w:next w:val="Normal"/>
    <w:link w:val="ChapterChar"/>
    <w:qFormat/>
    <w:rsid w:val="00315DCC"/>
    <w:pPr>
      <w:keepNext/>
      <w:numPr>
        <w:numId w:val="2"/>
      </w:numPr>
      <w:tabs>
        <w:tab w:val="left" w:pos="1440"/>
      </w:tabs>
      <w:spacing w:before="240" w:after="240" w:line="240" w:lineRule="auto"/>
      <w:jc w:val="center"/>
    </w:pPr>
    <w:rPr>
      <w:rFonts w:ascii="Times New Roman" w:hAnsi="Times New Roman" w:cs="Times New Roman"/>
      <w:b/>
      <w:smallCaps/>
      <w:sz w:val="24"/>
    </w:rPr>
  </w:style>
  <w:style w:type="character" w:customStyle="1" w:styleId="ChapterChar">
    <w:name w:val="Chapter Char"/>
    <w:basedOn w:val="DefaultParagraphFont"/>
    <w:link w:val="Chapter"/>
    <w:rsid w:val="00315DCC"/>
    <w:rPr>
      <w:rFonts w:ascii="Times New Roman" w:hAnsi="Times New Roman" w:cs="Times New Roman"/>
      <w:b/>
      <w:smallCaps/>
      <w:sz w:val="24"/>
    </w:rPr>
  </w:style>
  <w:style w:type="paragraph" w:customStyle="1" w:styleId="FirstHeading">
    <w:name w:val="FirstHeading"/>
    <w:basedOn w:val="Normal"/>
    <w:next w:val="Normal"/>
    <w:link w:val="FirstHeadingChar"/>
    <w:rsid w:val="00315DCC"/>
    <w:pPr>
      <w:keepNext/>
      <w:tabs>
        <w:tab w:val="left" w:pos="0"/>
        <w:tab w:val="left" w:pos="86"/>
      </w:tabs>
      <w:spacing w:before="120" w:after="120" w:line="240" w:lineRule="auto"/>
      <w:ind w:left="720" w:hanging="720"/>
    </w:pPr>
    <w:rPr>
      <w:rFonts w:ascii="Times New Roman" w:hAnsi="Times New Roman" w:cs="Times New Roman"/>
      <w:b/>
      <w:sz w:val="24"/>
    </w:rPr>
  </w:style>
  <w:style w:type="character" w:customStyle="1" w:styleId="FirstHeadingChar">
    <w:name w:val="FirstHeading Char"/>
    <w:basedOn w:val="DefaultParagraphFont"/>
    <w:link w:val="FirstHeading"/>
    <w:rsid w:val="00315DCC"/>
    <w:rPr>
      <w:rFonts w:ascii="Times New Roman" w:hAnsi="Times New Roman" w:cs="Times New Roman"/>
      <w:b/>
      <w:sz w:val="24"/>
    </w:rPr>
  </w:style>
  <w:style w:type="paragraph" w:customStyle="1" w:styleId="SecHeading">
    <w:name w:val="SecHeading"/>
    <w:basedOn w:val="Normal"/>
    <w:next w:val="Paragraph"/>
    <w:link w:val="SecHeadingChar"/>
    <w:rsid w:val="00315DCC"/>
    <w:pPr>
      <w:keepNext/>
      <w:tabs>
        <w:tab w:val="num" w:pos="1296"/>
      </w:tabs>
      <w:spacing w:before="120" w:after="120" w:line="240" w:lineRule="auto"/>
      <w:ind w:left="1296" w:hanging="576"/>
    </w:pPr>
    <w:rPr>
      <w:rFonts w:ascii="Times New Roman" w:hAnsi="Times New Roman" w:cs="Times New Roman"/>
      <w:b/>
      <w:sz w:val="24"/>
    </w:rPr>
  </w:style>
  <w:style w:type="character" w:customStyle="1" w:styleId="SecHeadingChar">
    <w:name w:val="SecHeading Char"/>
    <w:basedOn w:val="DefaultParagraphFont"/>
    <w:link w:val="SecHeading"/>
    <w:rsid w:val="00315DCC"/>
    <w:rPr>
      <w:rFonts w:ascii="Times New Roman" w:hAnsi="Times New Roman" w:cs="Times New Roman"/>
      <w:b/>
      <w:sz w:val="24"/>
    </w:rPr>
  </w:style>
  <w:style w:type="paragraph" w:customStyle="1" w:styleId="SubHeading1">
    <w:name w:val="SubHeading1"/>
    <w:basedOn w:val="SecHeading"/>
    <w:link w:val="SubHeading1Char"/>
    <w:rsid w:val="00315DCC"/>
    <w:pPr>
      <w:tabs>
        <w:tab w:val="clear" w:pos="1296"/>
        <w:tab w:val="num" w:pos="1872"/>
      </w:tabs>
      <w:ind w:left="1872"/>
    </w:pPr>
  </w:style>
  <w:style w:type="character" w:customStyle="1" w:styleId="SubHeading1Char">
    <w:name w:val="SubHeading1 Char"/>
    <w:basedOn w:val="DefaultParagraphFont"/>
    <w:link w:val="SubHeading1"/>
    <w:rsid w:val="00315DCC"/>
    <w:rPr>
      <w:rFonts w:ascii="Times New Roman" w:hAnsi="Times New Roman" w:cs="Times New Roman"/>
      <w:b/>
      <w:sz w:val="24"/>
    </w:rPr>
  </w:style>
  <w:style w:type="paragraph" w:customStyle="1" w:styleId="Subheading2">
    <w:name w:val="Subheading2"/>
    <w:basedOn w:val="SecHeading"/>
    <w:link w:val="Subheading2Char"/>
    <w:rsid w:val="00315DCC"/>
    <w:pPr>
      <w:tabs>
        <w:tab w:val="clear" w:pos="1296"/>
        <w:tab w:val="num" w:pos="2376"/>
      </w:tabs>
      <w:ind w:left="2376" w:hanging="288"/>
    </w:pPr>
  </w:style>
  <w:style w:type="character" w:customStyle="1" w:styleId="Subheading2Char">
    <w:name w:val="Subheading2 Char"/>
    <w:basedOn w:val="DefaultParagraphFont"/>
    <w:link w:val="Subheading2"/>
    <w:rsid w:val="00315DCC"/>
    <w:rPr>
      <w:rFonts w:ascii="Times New Roman" w:hAnsi="Times New Roman" w:cs="Times New Roman"/>
      <w:b/>
      <w:sz w:val="24"/>
    </w:rPr>
  </w:style>
  <w:style w:type="paragraph" w:customStyle="1" w:styleId="Paragraph">
    <w:name w:val="Paragraph"/>
    <w:aliases w:val="paragraph,p,PARAGRAPH,PG,pa,at"/>
    <w:basedOn w:val="BodyTextIndent"/>
    <w:link w:val="ParagraphChar"/>
    <w:qFormat/>
    <w:rsid w:val="00315DCC"/>
    <w:pPr>
      <w:numPr>
        <w:ilvl w:val="1"/>
        <w:numId w:val="2"/>
      </w:numPr>
      <w:tabs>
        <w:tab w:val="num" w:pos="720"/>
      </w:tabs>
      <w:spacing w:before="120"/>
      <w:ind w:left="720" w:hanging="720"/>
      <w:jc w:val="both"/>
      <w:outlineLvl w:val="1"/>
    </w:pPr>
  </w:style>
  <w:style w:type="character" w:customStyle="1" w:styleId="ParagraphChar">
    <w:name w:val="Paragraph Char"/>
    <w:basedOn w:val="DefaultParagraphFont"/>
    <w:link w:val="Paragraph"/>
    <w:rsid w:val="00315DCC"/>
    <w:rPr>
      <w:rFonts w:ascii="Times New Roman" w:hAnsi="Times New Roman" w:cs="Times New Roman"/>
      <w:sz w:val="24"/>
    </w:rPr>
  </w:style>
  <w:style w:type="paragraph" w:customStyle="1" w:styleId="subpar">
    <w:name w:val="subpar"/>
    <w:basedOn w:val="BodyTextIndent3"/>
    <w:link w:val="subparChar"/>
    <w:rsid w:val="00315DCC"/>
    <w:pPr>
      <w:tabs>
        <w:tab w:val="num" w:pos="1152"/>
      </w:tabs>
      <w:spacing w:before="120"/>
      <w:ind w:left="1152" w:hanging="432"/>
      <w:jc w:val="both"/>
      <w:outlineLvl w:val="2"/>
    </w:pPr>
  </w:style>
  <w:style w:type="character" w:customStyle="1" w:styleId="subparChar">
    <w:name w:val="subpar Char"/>
    <w:basedOn w:val="DefaultParagraphFont"/>
    <w:link w:val="subpar"/>
    <w:rsid w:val="00315DCC"/>
    <w:rPr>
      <w:rFonts w:ascii="Times New Roman" w:hAnsi="Times New Roman" w:cs="Times New Roman"/>
      <w:sz w:val="24"/>
      <w:szCs w:val="16"/>
    </w:rPr>
  </w:style>
  <w:style w:type="paragraph" w:customStyle="1" w:styleId="SubSubPar">
    <w:name w:val="SubSubPar"/>
    <w:basedOn w:val="subpar"/>
    <w:link w:val="SubSubParChar"/>
    <w:rsid w:val="00315DCC"/>
    <w:pPr>
      <w:tabs>
        <w:tab w:val="left" w:pos="0"/>
        <w:tab w:val="num" w:pos="1296"/>
      </w:tabs>
      <w:ind w:left="1296" w:hanging="288"/>
    </w:pPr>
  </w:style>
  <w:style w:type="character" w:customStyle="1" w:styleId="SubSubParChar">
    <w:name w:val="SubSubPar Char"/>
    <w:basedOn w:val="DefaultParagraphFont"/>
    <w:link w:val="SubSubPar"/>
    <w:rsid w:val="00315DCC"/>
    <w:rPr>
      <w:rFonts w:ascii="Times New Roman" w:hAnsi="Times New Roman" w:cs="Times New Roman"/>
      <w:sz w:val="24"/>
      <w:szCs w:val="16"/>
    </w:rPr>
  </w:style>
  <w:style w:type="paragraph" w:customStyle="1" w:styleId="Regtable">
    <w:name w:val="Regtable"/>
    <w:basedOn w:val="Normal"/>
    <w:link w:val="RegtableChar"/>
    <w:rsid w:val="00315DCC"/>
    <w:pPr>
      <w:keepLines/>
      <w:framePr w:wrap="around" w:vAnchor="text" w:hAnchor="text" w:y="1"/>
      <w:spacing w:before="20" w:after="20" w:line="240" w:lineRule="auto"/>
    </w:pPr>
    <w:rPr>
      <w:rFonts w:ascii="Times New Roman" w:hAnsi="Times New Roman" w:cs="Times New Roman"/>
      <w:sz w:val="20"/>
    </w:rPr>
  </w:style>
  <w:style w:type="character" w:customStyle="1" w:styleId="RegtableChar">
    <w:name w:val="Regtable Char"/>
    <w:basedOn w:val="DefaultParagraphFont"/>
    <w:link w:val="Regtable"/>
    <w:rsid w:val="00315DCC"/>
    <w:rPr>
      <w:rFonts w:ascii="Times New Roman" w:hAnsi="Times New Roman" w:cs="Times New Roman"/>
      <w:sz w:val="20"/>
    </w:rPr>
  </w:style>
  <w:style w:type="paragraph" w:customStyle="1" w:styleId="TableTitle">
    <w:name w:val="TableTitle"/>
    <w:basedOn w:val="Normal"/>
    <w:link w:val="TableTitleChar"/>
    <w:rsid w:val="00315DCC"/>
    <w:pPr>
      <w:keepNext/>
      <w:framePr w:wrap="around" w:vAnchor="text" w:hAnchor="text" w:y="1"/>
      <w:spacing w:before="20" w:after="20" w:line="240" w:lineRule="auto"/>
      <w:jc w:val="center"/>
    </w:pPr>
    <w:rPr>
      <w:rFonts w:ascii="Times New Roman Bold" w:hAnsi="Times New Roman Bold"/>
      <w:b/>
      <w:spacing w:val="-3"/>
      <w:sz w:val="20"/>
    </w:rPr>
  </w:style>
  <w:style w:type="character" w:customStyle="1" w:styleId="TableTitleChar">
    <w:name w:val="TableTitle Char"/>
    <w:basedOn w:val="DefaultParagraphFont"/>
    <w:link w:val="TableTitle"/>
    <w:rsid w:val="00315DCC"/>
    <w:rPr>
      <w:rFonts w:ascii="Times New Roman Bold" w:hAnsi="Times New Roman Bold"/>
      <w:b/>
      <w:spacing w:val="-3"/>
      <w:sz w:val="20"/>
    </w:rPr>
  </w:style>
  <w:style w:type="character" w:customStyle="1" w:styleId="Heading3Char">
    <w:name w:val="Heading 3 Char"/>
    <w:basedOn w:val="DefaultParagraphFont"/>
    <w:link w:val="Heading3"/>
    <w:uiPriority w:val="9"/>
    <w:rsid w:val="00F27970"/>
    <w:rPr>
      <w:rFonts w:ascii="Gotham Light" w:eastAsiaTheme="majorEastAsia" w:hAnsi="Gotham Light" w:cstheme="majorBidi"/>
      <w:bCs/>
      <w:u w:val="single"/>
    </w:rPr>
  </w:style>
  <w:style w:type="character" w:customStyle="1" w:styleId="Heading4Char">
    <w:name w:val="Heading 4 Char"/>
    <w:basedOn w:val="DefaultParagraphFont"/>
    <w:link w:val="Heading4"/>
    <w:uiPriority w:val="9"/>
    <w:semiHidden/>
    <w:rsid w:val="00315D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15D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15D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5D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5D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15DCC"/>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315DCC"/>
    <w:pPr>
      <w:spacing w:after="120" w:line="240" w:lineRule="auto"/>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semiHidden/>
    <w:rsid w:val="00315DCC"/>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315DCC"/>
    <w:pPr>
      <w:spacing w:after="120" w:line="240" w:lineRule="auto"/>
      <w:ind w:left="360"/>
    </w:pPr>
    <w:rPr>
      <w:rFonts w:ascii="Times New Roman" w:hAnsi="Times New Roman" w:cs="Times New Roman"/>
      <w:sz w:val="24"/>
      <w:szCs w:val="16"/>
    </w:rPr>
  </w:style>
  <w:style w:type="character" w:customStyle="1" w:styleId="BodyTextIndent3Char">
    <w:name w:val="Body Text Indent 3 Char"/>
    <w:basedOn w:val="DefaultParagraphFont"/>
    <w:link w:val="BodyTextIndent3"/>
    <w:uiPriority w:val="99"/>
    <w:semiHidden/>
    <w:rsid w:val="00315DCC"/>
    <w:rPr>
      <w:rFonts w:ascii="Times New Roman" w:hAnsi="Times New Roman" w:cs="Times New Roman"/>
      <w:sz w:val="24"/>
      <w:szCs w:val="16"/>
    </w:rPr>
  </w:style>
  <w:style w:type="paragraph" w:styleId="FootnoteText">
    <w:name w:val="footnote text"/>
    <w:aliases w:val="fn,Texto nota pie IIRSA,ft,footnote,Texto,nota,pie,Ref.,al,F1,texto de nota al pie,NOTA AL PIE TESIS PUCP,foottextfra,F,footnote text,Geneva 9,Font: Geneva 9,Boston 10,f,Fußnotentextr,Texto nota pie Car Car,single space,Fußn,Style 25,Char"/>
    <w:basedOn w:val="Normal"/>
    <w:link w:val="FootnoteTextChar"/>
    <w:uiPriority w:val="99"/>
    <w:unhideWhenUsed/>
    <w:qFormat/>
    <w:rsid w:val="00315DCC"/>
    <w:pPr>
      <w:keepNext/>
      <w:keepLines/>
      <w:spacing w:after="120" w:line="240" w:lineRule="auto"/>
      <w:ind w:left="288" w:hanging="288"/>
      <w:jc w:val="both"/>
    </w:pPr>
    <w:rPr>
      <w:rFonts w:ascii="Times New Roman" w:hAnsi="Times New Roman" w:cs="Times New Roman"/>
      <w:spacing w:val="-3"/>
      <w:sz w:val="20"/>
      <w:szCs w:val="20"/>
    </w:rPr>
  </w:style>
  <w:style w:type="character" w:customStyle="1" w:styleId="FootnoteTextChar">
    <w:name w:val="Footnote Text Char"/>
    <w:aliases w:val="fn Char,Texto nota pie IIRSA Char,ft Char,footnote Char,Texto Char,nota Char,pie Char,Ref. Char,al Char,F1 Char,texto de nota al pie Char,NOTA AL PIE TESIS PUCP Char,foottextfra Char,F Char,footnote text Char,Geneva 9 Char,f Char"/>
    <w:basedOn w:val="DefaultParagraphFont"/>
    <w:link w:val="FootnoteText"/>
    <w:uiPriority w:val="99"/>
    <w:rsid w:val="00315DCC"/>
    <w:rPr>
      <w:rFonts w:ascii="Times New Roman" w:hAnsi="Times New Roman" w:cs="Times New Roman"/>
      <w:spacing w:val="-3"/>
      <w:sz w:val="20"/>
      <w:szCs w:val="20"/>
    </w:rPr>
  </w:style>
  <w:style w:type="paragraph" w:styleId="TOC2">
    <w:name w:val="toc 2"/>
    <w:basedOn w:val="Normal"/>
    <w:next w:val="Normal"/>
    <w:autoRedefine/>
    <w:uiPriority w:val="39"/>
    <w:unhideWhenUsed/>
    <w:qFormat/>
    <w:rsid w:val="00FC7D95"/>
    <w:pPr>
      <w:tabs>
        <w:tab w:val="left" w:pos="1134"/>
        <w:tab w:val="right" w:leader="dot" w:pos="9090"/>
      </w:tabs>
      <w:spacing w:after="0" w:line="240" w:lineRule="auto"/>
      <w:ind w:left="810" w:hanging="249"/>
    </w:pPr>
    <w:rPr>
      <w:rFonts w:ascii="Times New Roman" w:hAnsi="Times New Roman" w:cs="Times New Roman"/>
      <w:sz w:val="24"/>
    </w:rPr>
  </w:style>
  <w:style w:type="paragraph" w:styleId="TOC3">
    <w:name w:val="toc 3"/>
    <w:basedOn w:val="Normal"/>
    <w:next w:val="Normal"/>
    <w:autoRedefine/>
    <w:uiPriority w:val="39"/>
    <w:unhideWhenUsed/>
    <w:qFormat/>
    <w:rsid w:val="00315DCC"/>
    <w:pPr>
      <w:tabs>
        <w:tab w:val="left" w:pos="1728"/>
        <w:tab w:val="right" w:leader="dot" w:pos="8741"/>
      </w:tabs>
      <w:spacing w:after="0" w:line="240" w:lineRule="auto"/>
      <w:ind w:left="1714" w:hanging="562"/>
    </w:pPr>
    <w:rPr>
      <w:rFonts w:ascii="Times New Roman" w:hAnsi="Times New Roman" w:cs="Times New Roman"/>
      <w:sz w:val="24"/>
    </w:rPr>
  </w:style>
  <w:style w:type="character" w:styleId="FollowedHyperlink">
    <w:name w:val="FollowedHyperlink"/>
    <w:basedOn w:val="DefaultParagraphFont"/>
    <w:uiPriority w:val="99"/>
    <w:semiHidden/>
    <w:unhideWhenUsed/>
    <w:rsid w:val="00590F57"/>
    <w:rPr>
      <w:color w:val="800080" w:themeColor="followedHyperlink"/>
      <w:u w:val="single"/>
    </w:rPr>
  </w:style>
  <w:style w:type="paragraph" w:styleId="Header">
    <w:name w:val="header"/>
    <w:basedOn w:val="Normal"/>
    <w:link w:val="HeaderChar"/>
    <w:uiPriority w:val="99"/>
    <w:unhideWhenUsed/>
    <w:rsid w:val="00BD4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86A"/>
  </w:style>
  <w:style w:type="paragraph" w:styleId="Footer">
    <w:name w:val="footer"/>
    <w:basedOn w:val="Normal"/>
    <w:link w:val="FooterChar"/>
    <w:uiPriority w:val="99"/>
    <w:unhideWhenUsed/>
    <w:rsid w:val="00BD4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6A"/>
  </w:style>
  <w:style w:type="table" w:styleId="TableGrid">
    <w:name w:val="Table Grid"/>
    <w:basedOn w:val="TableNormal"/>
    <w:uiPriority w:val="59"/>
    <w:rsid w:val="003C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titulo 2,16 Point,Superscript 6 Point,ftref,Fußnotenzeichen DISS,BVI fnr, BVI fnr,Знак сноски 1,referencia nota al pie,FC,Footnote Referencefra,Ref. de nota al pie.,Style 24,Footnote Reference Number,Footnote,Ref,de nota al pie"/>
    <w:basedOn w:val="DefaultParagraphFont"/>
    <w:uiPriority w:val="99"/>
    <w:unhideWhenUsed/>
    <w:qFormat/>
    <w:rsid w:val="00DF6DB7"/>
    <w:rPr>
      <w:vertAlign w:val="superscript"/>
    </w:rPr>
  </w:style>
  <w:style w:type="character" w:customStyle="1" w:styleId="Heading2Char">
    <w:name w:val="Heading 2 Char"/>
    <w:basedOn w:val="DefaultParagraphFont"/>
    <w:link w:val="Heading2"/>
    <w:uiPriority w:val="9"/>
    <w:rsid w:val="009832DA"/>
    <w:rPr>
      <w:rFonts w:ascii="Gotham Book" w:eastAsiaTheme="majorEastAsia" w:hAnsi="Gotham Book" w:cstheme="majorBidi"/>
      <w:b/>
      <w:bCs/>
      <w:color w:val="4F81BD" w:themeColor="accent1"/>
      <w:sz w:val="24"/>
      <w:szCs w:val="26"/>
    </w:rPr>
  </w:style>
  <w:style w:type="paragraph" w:styleId="NormalWeb">
    <w:name w:val="Normal (Web)"/>
    <w:basedOn w:val="Normal"/>
    <w:uiPriority w:val="99"/>
    <w:unhideWhenUsed/>
    <w:rsid w:val="0023672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C6E70"/>
    <w:rPr>
      <w:sz w:val="16"/>
      <w:szCs w:val="16"/>
    </w:rPr>
  </w:style>
  <w:style w:type="paragraph" w:styleId="CommentText">
    <w:name w:val="annotation text"/>
    <w:basedOn w:val="Normal"/>
    <w:link w:val="CommentTextChar"/>
    <w:uiPriority w:val="99"/>
    <w:semiHidden/>
    <w:unhideWhenUsed/>
    <w:rsid w:val="00BC6E70"/>
    <w:pPr>
      <w:spacing w:line="240" w:lineRule="auto"/>
    </w:pPr>
    <w:rPr>
      <w:sz w:val="20"/>
      <w:szCs w:val="20"/>
    </w:rPr>
  </w:style>
  <w:style w:type="character" w:customStyle="1" w:styleId="CommentTextChar">
    <w:name w:val="Comment Text Char"/>
    <w:basedOn w:val="DefaultParagraphFont"/>
    <w:link w:val="CommentText"/>
    <w:uiPriority w:val="99"/>
    <w:semiHidden/>
    <w:rsid w:val="00BC6E70"/>
    <w:rPr>
      <w:sz w:val="20"/>
      <w:szCs w:val="20"/>
    </w:rPr>
  </w:style>
  <w:style w:type="paragraph" w:styleId="Revision">
    <w:name w:val="Revision"/>
    <w:hidden/>
    <w:uiPriority w:val="99"/>
    <w:semiHidden/>
    <w:rsid w:val="00F27970"/>
    <w:pPr>
      <w:spacing w:after="0" w:line="240" w:lineRule="auto"/>
    </w:pPr>
    <w:rPr>
      <w:rFonts w:ascii="Gotham Book" w:hAnsi="Gotham Book"/>
    </w:rPr>
  </w:style>
  <w:style w:type="paragraph" w:styleId="CommentSubject">
    <w:name w:val="annotation subject"/>
    <w:basedOn w:val="CommentText"/>
    <w:next w:val="CommentText"/>
    <w:link w:val="CommentSubjectChar"/>
    <w:uiPriority w:val="99"/>
    <w:semiHidden/>
    <w:unhideWhenUsed/>
    <w:rsid w:val="003C13BA"/>
    <w:rPr>
      <w:b/>
      <w:bCs/>
    </w:rPr>
  </w:style>
  <w:style w:type="character" w:customStyle="1" w:styleId="CommentSubjectChar">
    <w:name w:val="Comment Subject Char"/>
    <w:basedOn w:val="CommentTextChar"/>
    <w:link w:val="CommentSubject"/>
    <w:uiPriority w:val="99"/>
    <w:semiHidden/>
    <w:rsid w:val="003C13BA"/>
    <w:rPr>
      <w:rFonts w:ascii="Gotham Book" w:hAnsi="Gotham Book"/>
      <w:b/>
      <w:bCs/>
      <w:sz w:val="20"/>
      <w:szCs w:val="20"/>
    </w:rPr>
  </w:style>
  <w:style w:type="character" w:styleId="PageNumber">
    <w:name w:val="page number"/>
    <w:basedOn w:val="DefaultParagraphFont"/>
    <w:uiPriority w:val="99"/>
    <w:semiHidden/>
    <w:unhideWhenUsed/>
    <w:rsid w:val="00D41E89"/>
  </w:style>
  <w:style w:type="character" w:styleId="UnresolvedMention">
    <w:name w:val="Unresolved Mention"/>
    <w:basedOn w:val="DefaultParagraphFont"/>
    <w:uiPriority w:val="99"/>
    <w:semiHidden/>
    <w:unhideWhenUsed/>
    <w:rsid w:val="001C7D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7982">
      <w:bodyDiv w:val="1"/>
      <w:marLeft w:val="0"/>
      <w:marRight w:val="0"/>
      <w:marTop w:val="0"/>
      <w:marBottom w:val="0"/>
      <w:divBdr>
        <w:top w:val="none" w:sz="0" w:space="0" w:color="auto"/>
        <w:left w:val="none" w:sz="0" w:space="0" w:color="auto"/>
        <w:bottom w:val="none" w:sz="0" w:space="0" w:color="auto"/>
        <w:right w:val="none" w:sz="0" w:space="0" w:color="auto"/>
      </w:divBdr>
    </w:div>
    <w:div w:id="559826129">
      <w:bodyDiv w:val="1"/>
      <w:marLeft w:val="0"/>
      <w:marRight w:val="0"/>
      <w:marTop w:val="0"/>
      <w:marBottom w:val="0"/>
      <w:divBdr>
        <w:top w:val="none" w:sz="0" w:space="0" w:color="auto"/>
        <w:left w:val="none" w:sz="0" w:space="0" w:color="auto"/>
        <w:bottom w:val="none" w:sz="0" w:space="0" w:color="auto"/>
        <w:right w:val="none" w:sz="0" w:space="0" w:color="auto"/>
      </w:divBdr>
    </w:div>
    <w:div w:id="588391167">
      <w:bodyDiv w:val="1"/>
      <w:marLeft w:val="0"/>
      <w:marRight w:val="0"/>
      <w:marTop w:val="0"/>
      <w:marBottom w:val="0"/>
      <w:divBdr>
        <w:top w:val="none" w:sz="0" w:space="0" w:color="auto"/>
        <w:left w:val="none" w:sz="0" w:space="0" w:color="auto"/>
        <w:bottom w:val="none" w:sz="0" w:space="0" w:color="auto"/>
        <w:right w:val="none" w:sz="0" w:space="0" w:color="auto"/>
      </w:divBdr>
    </w:div>
    <w:div w:id="683046550">
      <w:bodyDiv w:val="1"/>
      <w:marLeft w:val="0"/>
      <w:marRight w:val="0"/>
      <w:marTop w:val="0"/>
      <w:marBottom w:val="0"/>
      <w:divBdr>
        <w:top w:val="none" w:sz="0" w:space="0" w:color="auto"/>
        <w:left w:val="none" w:sz="0" w:space="0" w:color="auto"/>
        <w:bottom w:val="none" w:sz="0" w:space="0" w:color="auto"/>
        <w:right w:val="none" w:sz="0" w:space="0" w:color="auto"/>
      </w:divBdr>
    </w:div>
    <w:div w:id="768896205">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54020800">
      <w:bodyDiv w:val="1"/>
      <w:marLeft w:val="0"/>
      <w:marRight w:val="0"/>
      <w:marTop w:val="0"/>
      <w:marBottom w:val="0"/>
      <w:divBdr>
        <w:top w:val="none" w:sz="0" w:space="0" w:color="auto"/>
        <w:left w:val="none" w:sz="0" w:space="0" w:color="auto"/>
        <w:bottom w:val="none" w:sz="0" w:space="0" w:color="auto"/>
        <w:right w:val="none" w:sz="0" w:space="0" w:color="auto"/>
      </w:divBdr>
    </w:div>
    <w:div w:id="992837308">
      <w:bodyDiv w:val="1"/>
      <w:marLeft w:val="0"/>
      <w:marRight w:val="0"/>
      <w:marTop w:val="0"/>
      <w:marBottom w:val="0"/>
      <w:divBdr>
        <w:top w:val="none" w:sz="0" w:space="0" w:color="auto"/>
        <w:left w:val="none" w:sz="0" w:space="0" w:color="auto"/>
        <w:bottom w:val="none" w:sz="0" w:space="0" w:color="auto"/>
        <w:right w:val="none" w:sz="0" w:space="0" w:color="auto"/>
      </w:divBdr>
    </w:div>
    <w:div w:id="1135486562">
      <w:bodyDiv w:val="1"/>
      <w:marLeft w:val="0"/>
      <w:marRight w:val="0"/>
      <w:marTop w:val="0"/>
      <w:marBottom w:val="0"/>
      <w:divBdr>
        <w:top w:val="none" w:sz="0" w:space="0" w:color="auto"/>
        <w:left w:val="none" w:sz="0" w:space="0" w:color="auto"/>
        <w:bottom w:val="none" w:sz="0" w:space="0" w:color="auto"/>
        <w:right w:val="none" w:sz="0" w:space="0" w:color="auto"/>
      </w:divBdr>
    </w:div>
    <w:div w:id="1339771446">
      <w:bodyDiv w:val="1"/>
      <w:marLeft w:val="0"/>
      <w:marRight w:val="0"/>
      <w:marTop w:val="0"/>
      <w:marBottom w:val="0"/>
      <w:divBdr>
        <w:top w:val="none" w:sz="0" w:space="0" w:color="auto"/>
        <w:left w:val="none" w:sz="0" w:space="0" w:color="auto"/>
        <w:bottom w:val="none" w:sz="0" w:space="0" w:color="auto"/>
        <w:right w:val="none" w:sz="0" w:space="0" w:color="auto"/>
      </w:divBdr>
    </w:div>
    <w:div w:id="21112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igo/legalco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manuelfe@iadb.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iadb.org/en/topics/energy/energy-innovation-center/eic-test/flow-institutional-data,9877.html?view=v11" TargetMode="External"/><Relationship Id="rId3" Type="http://schemas.openxmlformats.org/officeDocument/2006/relationships/hyperlink" Target="http://www.sbs.gob.pe/app/stats/EstadisticaBoletinEstadistico.asp?p=13" TargetMode="External"/><Relationship Id="rId7" Type="http://schemas.openxmlformats.org/officeDocument/2006/relationships/hyperlink" Target="http://cait.wri.org/historical/Country%20GHG%20Emissions" TargetMode="External"/><Relationship Id="rId2" Type="http://schemas.openxmlformats.org/officeDocument/2006/relationships/hyperlink" Target="https://www.superfinanciera.gov.co/jsp/loader.jsf?lServicio=Publicaciones&amp;lTipo=publicaciones&amp;lFuncion=loadContenidoPublicacion&amp;id=60950" TargetMode="External"/><Relationship Id="rId1" Type="http://schemas.openxmlformats.org/officeDocument/2006/relationships/hyperlink" Target="https://www.bcp.gov.py/boletines-estadisticos-i62" TargetMode="External"/><Relationship Id="rId6" Type="http://schemas.openxmlformats.org/officeDocument/2006/relationships/hyperlink" Target="http://www.bancomundial.org/es/news/feature/2016/04/28/construccion-inmobiliria-lac-emisiones-gases-mas-casas-o-mas-medioambiente" TargetMode="External"/><Relationship Id="rId5" Type="http://schemas.openxmlformats.org/officeDocument/2006/relationships/hyperlink" Target="https://www.iea.org/publications/freepublications/publication/CO2EmissionsfromFuelCombustion_Highlights_2016.pdf" TargetMode="External"/><Relationship Id="rId4" Type="http://schemas.openxmlformats.org/officeDocument/2006/relationships/hyperlink" Target="http://www.sbif.cl/sbifweb/servlet/InfoFinanciera?indice=C.D.A&amp;idContenido=15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EE47-927A-41E3-93E5-33E698EB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23</Pages>
  <Words>7953</Words>
  <Characters>45335</Characters>
  <Application>Microsoft Office Word</Application>
  <DocSecurity>0</DocSecurity>
  <Lines>377</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Dominguez, Joaquin J.</dc:creator>
  <cp:lastModifiedBy>Fernandini Puga, Manuel Pablo</cp:lastModifiedBy>
  <cp:revision>10</cp:revision>
  <cp:lastPrinted>2017-06-03T04:17:00Z</cp:lastPrinted>
  <dcterms:created xsi:type="dcterms:W3CDTF">2017-11-01T18:16:00Z</dcterms:created>
  <dcterms:modified xsi:type="dcterms:W3CDTF">2018-01-23T19:15:00Z</dcterms:modified>
</cp:coreProperties>
</file>